
<file path=[Content_Types].xml><?xml version="1.0" encoding="utf-8"?>
<Types xmlns="http://schemas.openxmlformats.org/package/2006/content-types">
  <Override PartName="/_rels/.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theme/theme1.xml" ContentType="application/vnd.openxmlformats-officedocument.theme+xml"/>
  <Override PartName="/word/styles.xml" ContentType="application/vnd.openxmlformats-officedocument.wordprocessingml.styles+xml"/>
  <Override PartName="/word/numbering.xml" ContentType="application/vnd.openxmlformats-officedocument.wordprocessingml.numbering+xml"/>
  <Override PartName="/word/document.xml" ContentType="application/vnd.openxmlformats-officedocument.wordprocessingml.document.main+xml"/>
  <Override PartName="/docProps/custom.xml" ContentType="application/vnd.openxmlformats-officedocument.custom-propertie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Standard"/>
        <w:jc w:val="center"/>
        <w:rPr>
          <w:b/>
          <w:b/>
          <w:bCs/>
          <w:color w:val="000000"/>
          <w:u w:val="single"/>
        </w:rPr>
      </w:pPr>
      <w:r>
        <w:rPr>
          <w:b/>
          <w:bCs/>
          <w:color w:val="000000"/>
          <w:u w:val="single"/>
        </w:rPr>
        <w:t>REGLAMENTO V CARRERA NOCTURNA ENTORNO DE LA RÁBIDA</w:t>
      </w:r>
    </w:p>
    <w:p>
      <w:pPr>
        <w:pStyle w:val="Standard"/>
        <w:jc w:val="both"/>
        <w:rPr>
          <w:color w:val="000000"/>
        </w:rPr>
      </w:pPr>
      <w:r>
        <w:rPr>
          <w:color w:val="000000"/>
        </w:rPr>
      </w:r>
    </w:p>
    <w:p>
      <w:pPr>
        <w:pStyle w:val="Standard"/>
        <w:jc w:val="both"/>
        <w:rPr>
          <w:color w:val="000000"/>
        </w:rPr>
      </w:pPr>
      <w:r>
        <w:rPr>
          <w:color w:val="000000"/>
        </w:rPr>
        <w:t>La Diputación de Huelva (en adelante DPH) a través del Servicio de Deportes en colaboración con la Unidad de Gestión de la Rábida y la Federación Andaluza de Atletismo, convoca la V Carrera Nocturna "ENTORNO DE LA RÁBIDA", que tendrá lugar el sábado 18 de agosto de 2018 en el Muelle de las Carabelas, según las siguientes bases:</w:t>
      </w:r>
    </w:p>
    <w:p>
      <w:pPr>
        <w:pStyle w:val="Standard"/>
        <w:jc w:val="both"/>
        <w:rPr>
          <w:color w:val="000000"/>
        </w:rPr>
      </w:pPr>
      <w:r>
        <w:rPr>
          <w:color w:val="000000"/>
        </w:rPr>
      </w:r>
    </w:p>
    <w:p>
      <w:pPr>
        <w:pStyle w:val="Standard"/>
        <w:jc w:val="both"/>
        <w:rPr>
          <w:color w:val="000000"/>
        </w:rPr>
      </w:pPr>
      <w:r>
        <w:rPr>
          <w:color w:val="000000"/>
        </w:rPr>
        <w:t xml:space="preserve"> </w:t>
      </w:r>
      <w:r>
        <w:rPr>
          <w:color w:val="000000"/>
        </w:rPr>
        <w:t xml:space="preserve">1.  </w:t>
      </w:r>
      <w:r>
        <w:rPr>
          <w:color w:val="000000"/>
          <w:u w:val="single"/>
        </w:rPr>
        <w:t>Distancia, salida y meta</w:t>
      </w:r>
      <w:r>
        <w:rPr>
          <w:color w:val="000000"/>
        </w:rPr>
        <w:t>: Las categorías menores saldrán a las 21,00 horas con circuitos A y B.</w:t>
      </w:r>
    </w:p>
    <w:p>
      <w:pPr>
        <w:pStyle w:val="Standard"/>
        <w:jc w:val="both"/>
        <w:rPr>
          <w:color w:val="000000"/>
        </w:rPr>
      </w:pPr>
      <w:r>
        <w:rPr>
          <w:color w:val="000000"/>
        </w:rPr>
        <w:t>El resto de categorías saldrán a partir de las 22:00h con salida y meta en el Muelle de las Carabelas. La distancia a recorrer constará de (3) vueltas a un circuito C de 3.340m. que discurrirá por el entorno urbano de la Rábida. El total será de 10K sobre asfalto, losas, piedra y tierra. No puntuable para circuitos provinciales.</w:t>
      </w:r>
    </w:p>
    <w:p>
      <w:pPr>
        <w:pStyle w:val="Standard"/>
        <w:jc w:val="both"/>
        <w:rPr>
          <w:color w:val="000000"/>
        </w:rPr>
      </w:pPr>
      <w:r>
        <w:rPr>
          <w:color w:val="000000"/>
        </w:rPr>
      </w:r>
    </w:p>
    <w:p>
      <w:pPr>
        <w:pStyle w:val="Standard"/>
        <w:jc w:val="both"/>
        <w:rPr>
          <w:color w:val="000000"/>
        </w:rPr>
      </w:pPr>
      <w:r>
        <w:rPr>
          <w:color w:val="000000"/>
        </w:rPr>
        <w:t xml:space="preserve">2.  </w:t>
      </w:r>
      <w:r>
        <w:rPr>
          <w:color w:val="000000"/>
          <w:u w:val="single"/>
        </w:rPr>
        <w:t>Participantes</w:t>
      </w:r>
      <w:r>
        <w:rPr>
          <w:color w:val="000000"/>
        </w:rPr>
        <w:t>:</w:t>
      </w:r>
    </w:p>
    <w:p>
      <w:pPr>
        <w:pStyle w:val="Standard"/>
        <w:numPr>
          <w:ilvl w:val="0"/>
          <w:numId w:val="1"/>
        </w:numPr>
        <w:jc w:val="both"/>
        <w:rPr>
          <w:color w:val="000000"/>
        </w:rPr>
      </w:pPr>
      <w:r>
        <w:rPr>
          <w:color w:val="000000"/>
        </w:rPr>
        <w:t>Atletas que hayan cumplido los 18 años el día de la prueba y menores con autorización de padre, madre o tutor.</w:t>
        <w:tab/>
      </w:r>
    </w:p>
    <w:p>
      <w:pPr>
        <w:pStyle w:val="Standard"/>
        <w:numPr>
          <w:ilvl w:val="0"/>
          <w:numId w:val="1"/>
        </w:numPr>
        <w:jc w:val="both"/>
        <w:rPr>
          <w:color w:val="000000"/>
        </w:rPr>
      </w:pPr>
      <w:r>
        <w:rPr>
          <w:color w:val="000000"/>
        </w:rPr>
        <w:t>Se recomienda llevar luz frontal para afrontar las partes menos iluminadas del recorrido.</w:t>
      </w:r>
    </w:p>
    <w:p>
      <w:pPr>
        <w:pStyle w:val="Standard"/>
        <w:jc w:val="both"/>
        <w:rPr>
          <w:color w:val="000000"/>
        </w:rPr>
      </w:pPr>
      <w:r>
        <w:rPr>
          <w:color w:val="000000"/>
        </w:rPr>
      </w:r>
    </w:p>
    <w:p>
      <w:pPr>
        <w:pStyle w:val="Standard"/>
        <w:jc w:val="both"/>
        <w:rPr>
          <w:color w:val="000000"/>
        </w:rPr>
      </w:pPr>
      <w:r>
        <w:rPr>
          <w:color w:val="000000"/>
        </w:rPr>
        <w:t xml:space="preserve">3.  </w:t>
      </w:r>
      <w:r>
        <w:rPr>
          <w:color w:val="000000"/>
          <w:u w:val="single"/>
        </w:rPr>
        <w:t>Inscripciones</w:t>
      </w:r>
      <w:r>
        <w:rPr>
          <w:color w:val="000000"/>
        </w:rPr>
        <w:t>: se establece un número máximo de participación de 500 (quinientos) atletas según orden de inscripción.</w:t>
      </w:r>
    </w:p>
    <w:p>
      <w:pPr>
        <w:pStyle w:val="Standard"/>
        <w:jc w:val="both"/>
        <w:rPr/>
      </w:pPr>
      <w:r>
        <w:rPr>
          <w:color w:val="000000"/>
        </w:rPr>
        <w:tab/>
        <w:t xml:space="preserve"> </w:t>
        <w:tab/>
        <w:tab/>
        <w:t xml:space="preserve">Lugar de inscripción: </w:t>
      </w:r>
      <w:hyperlink r:id="rId2">
        <w:r>
          <w:rPr>
            <w:rStyle w:val="EnlacedeInternet"/>
            <w:color w:val="000000"/>
          </w:rPr>
          <w:t>https://www.rockthesport.com</w:t>
        </w:r>
      </w:hyperlink>
      <w:r>
        <w:rPr>
          <w:color w:val="000000"/>
        </w:rPr>
        <w:tab/>
      </w:r>
    </w:p>
    <w:p>
      <w:pPr>
        <w:pStyle w:val="Standard"/>
        <w:jc w:val="both"/>
        <w:rPr>
          <w:color w:val="000000"/>
        </w:rPr>
      </w:pPr>
      <w:r>
        <w:rPr>
          <w:color w:val="000000"/>
        </w:rPr>
      </w:r>
    </w:p>
    <w:p>
      <w:pPr>
        <w:pStyle w:val="Standard"/>
        <w:jc w:val="both"/>
        <w:rPr>
          <w:color w:val="000000"/>
        </w:rPr>
      </w:pPr>
      <w:r>
        <w:rPr>
          <w:color w:val="000000"/>
        </w:rPr>
        <w:tab/>
        <w:t>Fecha límite: jueves, 16 de agosto de 2018 a las 24:00h. NO SE ADMITIRÁN INSCRIPCIONES EL DÍA DE LA PRUEBA.</w:t>
      </w:r>
    </w:p>
    <w:p>
      <w:pPr>
        <w:pStyle w:val="Standard"/>
        <w:jc w:val="both"/>
        <w:rPr>
          <w:color w:val="000000"/>
        </w:rPr>
      </w:pPr>
      <w:r>
        <w:rPr>
          <w:color w:val="000000"/>
        </w:rPr>
      </w:r>
    </w:p>
    <w:p>
      <w:pPr>
        <w:pStyle w:val="Standard"/>
        <w:jc w:val="both"/>
        <w:rPr>
          <w:color w:val="000000"/>
        </w:rPr>
      </w:pPr>
      <w:r>
        <w:rPr>
          <w:color w:val="000000"/>
        </w:rPr>
        <w:tab/>
        <w:t>Importe de la inscripción: GRATUITO.</w:t>
      </w:r>
    </w:p>
    <w:p>
      <w:pPr>
        <w:pStyle w:val="Standard"/>
        <w:jc w:val="both"/>
        <w:rPr>
          <w:color w:val="000000"/>
        </w:rPr>
      </w:pPr>
      <w:r>
        <w:rPr>
          <w:color w:val="000000"/>
        </w:rPr>
      </w:r>
    </w:p>
    <w:p>
      <w:pPr>
        <w:pStyle w:val="Standard"/>
        <w:jc w:val="both"/>
        <w:rPr>
          <w:color w:val="000000"/>
        </w:rPr>
      </w:pPr>
      <w:r>
        <w:rPr>
          <w:color w:val="000000"/>
        </w:rPr>
        <w:t xml:space="preserve">4. </w:t>
      </w:r>
      <w:r>
        <w:rPr>
          <w:color w:val="000000"/>
          <w:u w:val="single"/>
        </w:rPr>
        <w:t>Dorsales</w:t>
      </w:r>
      <w:r>
        <w:rPr>
          <w:color w:val="000000"/>
        </w:rPr>
        <w:t>: se podrán retirar  por la tarde, día de la prueba, desde las 19:00h hasta las 21:30h, en el Muelle de las Carabelas media hora antes de su celebración, previa identificación del deportista. El dorsal se colocará en toda su extensión a la altura del pecho y ser visible en su totalidad; el incumplimiento de esta condición dará lugar a la descalificación del corredor. La organización no proveerá de imperdibles a los participantes.</w:t>
      </w:r>
    </w:p>
    <w:p>
      <w:pPr>
        <w:pStyle w:val="Standard"/>
        <w:jc w:val="both"/>
        <w:rPr>
          <w:color w:val="000000"/>
        </w:rPr>
      </w:pPr>
      <w:r>
        <w:rPr>
          <w:color w:val="000000"/>
        </w:rPr>
      </w:r>
    </w:p>
    <w:p>
      <w:pPr>
        <w:pStyle w:val="Standard"/>
        <w:jc w:val="both"/>
        <w:rPr>
          <w:color w:val="000000"/>
        </w:rPr>
      </w:pPr>
      <w:r>
        <w:rPr>
          <w:color w:val="000000"/>
        </w:rPr>
        <w:t>5. Categorías: se convocan las siguientes:</w:t>
      </w:r>
    </w:p>
    <w:tbl>
      <w:tblPr>
        <w:tblW w:w="9638" w:type="dxa"/>
        <w:jc w:val="left"/>
        <w:tblInd w:w="45" w:type="dxa"/>
        <w:tblBorders/>
        <w:tblCellMar>
          <w:top w:w="55" w:type="dxa"/>
          <w:left w:w="55" w:type="dxa"/>
          <w:bottom w:w="55" w:type="dxa"/>
          <w:right w:w="55" w:type="dxa"/>
        </w:tblCellMar>
        <w:tblLook w:val="04a0"/>
      </w:tblPr>
      <w:tblGrid>
        <w:gridCol w:w="2410"/>
        <w:gridCol w:w="2409"/>
        <w:gridCol w:w="2412"/>
        <w:gridCol w:w="2406"/>
      </w:tblGrid>
      <w:tr>
        <w:trPr/>
        <w:tc>
          <w:tcPr>
            <w:tcW w:w="2410" w:type="dxa"/>
            <w:tcBorders/>
            <w:shd w:fill="auto" w:val="clear"/>
          </w:tcPr>
          <w:p>
            <w:pPr>
              <w:pStyle w:val="Contenidodelatabla"/>
              <w:jc w:val="both"/>
              <w:rPr>
                <w:u w:val="single"/>
              </w:rPr>
            </w:pPr>
            <w:r>
              <w:rPr>
                <w:color w:val="000000"/>
                <w:u w:val="single"/>
              </w:rPr>
              <w:t>Categoría</w:t>
            </w:r>
          </w:p>
        </w:tc>
        <w:tc>
          <w:tcPr>
            <w:tcW w:w="2409" w:type="dxa"/>
            <w:tcBorders/>
            <w:shd w:fill="auto" w:val="clear"/>
          </w:tcPr>
          <w:p>
            <w:pPr>
              <w:pStyle w:val="Contenidodelatabla"/>
              <w:jc w:val="both"/>
              <w:rPr>
                <w:u w:val="single"/>
              </w:rPr>
            </w:pPr>
            <w:r>
              <w:rPr>
                <w:color w:val="000000"/>
                <w:u w:val="single"/>
              </w:rPr>
              <w:t>Año Nacimiento</w:t>
            </w:r>
          </w:p>
        </w:tc>
        <w:tc>
          <w:tcPr>
            <w:tcW w:w="2412" w:type="dxa"/>
            <w:tcBorders/>
            <w:shd w:fill="auto" w:val="clear"/>
          </w:tcPr>
          <w:p>
            <w:pPr>
              <w:pStyle w:val="Contenidodelatabla"/>
              <w:jc w:val="both"/>
              <w:rPr>
                <w:u w:val="single"/>
              </w:rPr>
            </w:pPr>
            <w:r>
              <w:rPr>
                <w:color w:val="000000"/>
                <w:u w:val="single"/>
              </w:rPr>
              <w:t>Circuito</w:t>
            </w:r>
          </w:p>
        </w:tc>
        <w:tc>
          <w:tcPr>
            <w:tcW w:w="2406" w:type="dxa"/>
            <w:tcBorders/>
            <w:shd w:fill="auto" w:val="clear"/>
          </w:tcPr>
          <w:p>
            <w:pPr>
              <w:pStyle w:val="Contenidodelatabla"/>
              <w:jc w:val="both"/>
              <w:rPr/>
            </w:pPr>
            <w:r>
              <w:rPr>
                <w:color w:val="000000"/>
                <w:u w:val="single"/>
              </w:rPr>
              <w:t>Distancias</w:t>
            </w:r>
          </w:p>
        </w:tc>
      </w:tr>
      <w:tr>
        <w:trPr/>
        <w:tc>
          <w:tcPr>
            <w:tcW w:w="2410" w:type="dxa"/>
            <w:tcBorders/>
            <w:shd w:fill="auto" w:val="clear"/>
          </w:tcPr>
          <w:p>
            <w:pPr>
              <w:pStyle w:val="Contenidodelatabla"/>
              <w:jc w:val="both"/>
              <w:rPr>
                <w:color w:val="000000"/>
              </w:rPr>
            </w:pPr>
            <w:r>
              <w:rPr>
                <w:color w:val="000000"/>
              </w:rPr>
              <w:t>Sub10</w:t>
            </w:r>
          </w:p>
        </w:tc>
        <w:tc>
          <w:tcPr>
            <w:tcW w:w="2409" w:type="dxa"/>
            <w:tcBorders/>
            <w:shd w:fill="auto" w:val="clear"/>
          </w:tcPr>
          <w:p>
            <w:pPr>
              <w:pStyle w:val="Contenidodelatabla"/>
              <w:jc w:val="both"/>
              <w:rPr>
                <w:color w:val="000000"/>
              </w:rPr>
            </w:pPr>
            <w:r>
              <w:rPr>
                <w:color w:val="000000"/>
              </w:rPr>
              <w:t>2009/10</w:t>
            </w:r>
          </w:p>
        </w:tc>
        <w:tc>
          <w:tcPr>
            <w:tcW w:w="2412" w:type="dxa"/>
            <w:tcBorders/>
            <w:shd w:fill="auto" w:val="clear"/>
          </w:tcPr>
          <w:p>
            <w:pPr>
              <w:pStyle w:val="Contenidodelatabla"/>
              <w:jc w:val="both"/>
              <w:rPr>
                <w:color w:val="000000"/>
              </w:rPr>
            </w:pPr>
            <w:r>
              <w:rPr>
                <w:color w:val="000000"/>
              </w:rPr>
              <w:t>1/2 A</w:t>
            </w:r>
          </w:p>
        </w:tc>
        <w:tc>
          <w:tcPr>
            <w:tcW w:w="2406" w:type="dxa"/>
            <w:tcBorders/>
            <w:shd w:fill="auto" w:val="clear"/>
          </w:tcPr>
          <w:p>
            <w:pPr>
              <w:pStyle w:val="Contenidodelatabla"/>
              <w:jc w:val="both"/>
              <w:rPr/>
            </w:pPr>
            <w:r>
              <w:rPr>
                <w:color w:val="000000"/>
              </w:rPr>
              <w:t>29</w:t>
            </w:r>
            <w:r>
              <w:rPr>
                <w:color w:val="000000"/>
              </w:rPr>
              <w:t>7,5</w:t>
            </w:r>
            <w:r>
              <w:rPr>
                <w:color w:val="000000"/>
              </w:rPr>
              <w:t xml:space="preserve"> m</w:t>
            </w:r>
          </w:p>
        </w:tc>
      </w:tr>
      <w:tr>
        <w:trPr/>
        <w:tc>
          <w:tcPr>
            <w:tcW w:w="2410" w:type="dxa"/>
            <w:tcBorders/>
            <w:shd w:fill="auto" w:val="clear"/>
          </w:tcPr>
          <w:p>
            <w:pPr>
              <w:pStyle w:val="Contenidodelatabla"/>
              <w:jc w:val="both"/>
              <w:rPr>
                <w:color w:val="000000"/>
              </w:rPr>
            </w:pPr>
            <w:r>
              <w:rPr>
                <w:color w:val="000000"/>
              </w:rPr>
              <w:t>Sub12</w:t>
            </w:r>
          </w:p>
        </w:tc>
        <w:tc>
          <w:tcPr>
            <w:tcW w:w="2409" w:type="dxa"/>
            <w:tcBorders/>
            <w:shd w:fill="auto" w:val="clear"/>
          </w:tcPr>
          <w:p>
            <w:pPr>
              <w:pStyle w:val="Contenidodelatabla"/>
              <w:jc w:val="both"/>
              <w:rPr>
                <w:color w:val="000000"/>
              </w:rPr>
            </w:pPr>
            <w:r>
              <w:rPr>
                <w:color w:val="000000"/>
              </w:rPr>
              <w:t>2007/08</w:t>
            </w:r>
          </w:p>
        </w:tc>
        <w:tc>
          <w:tcPr>
            <w:tcW w:w="2412" w:type="dxa"/>
            <w:tcBorders/>
            <w:shd w:fill="auto" w:val="clear"/>
          </w:tcPr>
          <w:p>
            <w:pPr>
              <w:pStyle w:val="Contenidodelatabla"/>
              <w:jc w:val="both"/>
              <w:rPr>
                <w:color w:val="000000"/>
              </w:rPr>
            </w:pPr>
            <w:r>
              <w:rPr>
                <w:color w:val="000000"/>
              </w:rPr>
              <w:t>1A</w:t>
            </w:r>
          </w:p>
        </w:tc>
        <w:tc>
          <w:tcPr>
            <w:tcW w:w="2406" w:type="dxa"/>
            <w:tcBorders/>
            <w:shd w:fill="auto" w:val="clear"/>
          </w:tcPr>
          <w:p>
            <w:pPr>
              <w:pStyle w:val="Contenidodelatabla"/>
              <w:jc w:val="both"/>
              <w:rPr/>
            </w:pPr>
            <w:r>
              <w:rPr>
                <w:color w:val="000000"/>
              </w:rPr>
              <w:t>5</w:t>
            </w:r>
            <w:r>
              <w:rPr>
                <w:color w:val="000000"/>
              </w:rPr>
              <w:t>95</w:t>
            </w:r>
            <w:r>
              <w:rPr>
                <w:color w:val="000000"/>
              </w:rPr>
              <w:t xml:space="preserve"> m</w:t>
            </w:r>
          </w:p>
        </w:tc>
      </w:tr>
      <w:tr>
        <w:trPr/>
        <w:tc>
          <w:tcPr>
            <w:tcW w:w="2410" w:type="dxa"/>
            <w:tcBorders/>
            <w:shd w:fill="auto" w:val="clear"/>
          </w:tcPr>
          <w:p>
            <w:pPr>
              <w:pStyle w:val="Contenidodelatabla"/>
              <w:jc w:val="both"/>
              <w:rPr>
                <w:color w:val="000000"/>
              </w:rPr>
            </w:pPr>
            <w:r>
              <w:rPr>
                <w:color w:val="000000"/>
              </w:rPr>
              <w:t>Sub14</w:t>
            </w:r>
          </w:p>
        </w:tc>
        <w:tc>
          <w:tcPr>
            <w:tcW w:w="2409" w:type="dxa"/>
            <w:tcBorders/>
            <w:shd w:fill="auto" w:val="clear"/>
          </w:tcPr>
          <w:p>
            <w:pPr>
              <w:pStyle w:val="Contenidodelatabla"/>
              <w:jc w:val="both"/>
              <w:rPr>
                <w:color w:val="000000"/>
              </w:rPr>
            </w:pPr>
            <w:r>
              <w:rPr>
                <w:color w:val="000000"/>
              </w:rPr>
              <w:t>2005/06</w:t>
            </w:r>
          </w:p>
        </w:tc>
        <w:tc>
          <w:tcPr>
            <w:tcW w:w="2412" w:type="dxa"/>
            <w:tcBorders/>
            <w:shd w:fill="auto" w:val="clear"/>
          </w:tcPr>
          <w:p>
            <w:pPr>
              <w:pStyle w:val="Contenidodelatabla"/>
              <w:jc w:val="both"/>
              <w:rPr>
                <w:color w:val="000000"/>
              </w:rPr>
            </w:pPr>
            <w:r>
              <w:rPr>
                <w:color w:val="000000"/>
              </w:rPr>
              <w:t>2A</w:t>
            </w:r>
          </w:p>
        </w:tc>
        <w:tc>
          <w:tcPr>
            <w:tcW w:w="2406" w:type="dxa"/>
            <w:tcBorders/>
            <w:shd w:fill="auto" w:val="clear"/>
          </w:tcPr>
          <w:p>
            <w:pPr>
              <w:pStyle w:val="Contenidodelatabla"/>
              <w:jc w:val="both"/>
              <w:rPr>
                <w:color w:val="FF0000"/>
              </w:rPr>
            </w:pPr>
            <w:r>
              <w:rPr>
                <w:color w:val="000000"/>
              </w:rPr>
              <w:t>11</w:t>
            </w:r>
            <w:r>
              <w:rPr>
                <w:color w:val="000000"/>
              </w:rPr>
              <w:t>9</w:t>
            </w:r>
            <w:r>
              <w:rPr>
                <w:color w:val="000000"/>
              </w:rPr>
              <w:t>0 m</w:t>
            </w:r>
          </w:p>
        </w:tc>
      </w:tr>
      <w:tr>
        <w:trPr/>
        <w:tc>
          <w:tcPr>
            <w:tcW w:w="2410" w:type="dxa"/>
            <w:tcBorders/>
            <w:shd w:fill="auto" w:val="clear"/>
          </w:tcPr>
          <w:p>
            <w:pPr>
              <w:pStyle w:val="Contenidodelatabla"/>
              <w:jc w:val="both"/>
              <w:rPr>
                <w:color w:val="000000"/>
              </w:rPr>
            </w:pPr>
            <w:r>
              <w:rPr>
                <w:color w:val="000000"/>
              </w:rPr>
              <w:t>Sub16</w:t>
            </w:r>
          </w:p>
        </w:tc>
        <w:tc>
          <w:tcPr>
            <w:tcW w:w="2409" w:type="dxa"/>
            <w:tcBorders/>
            <w:shd w:fill="auto" w:val="clear"/>
          </w:tcPr>
          <w:p>
            <w:pPr>
              <w:pStyle w:val="Contenidodelatabla"/>
              <w:jc w:val="both"/>
              <w:rPr>
                <w:color w:val="000000"/>
              </w:rPr>
            </w:pPr>
            <w:r>
              <w:rPr>
                <w:color w:val="000000"/>
              </w:rPr>
              <w:t>2003/04</w:t>
            </w:r>
          </w:p>
        </w:tc>
        <w:tc>
          <w:tcPr>
            <w:tcW w:w="2412" w:type="dxa"/>
            <w:tcBorders/>
            <w:shd w:fill="auto" w:val="clear"/>
          </w:tcPr>
          <w:p>
            <w:pPr>
              <w:pStyle w:val="Contenidodelatabla"/>
              <w:jc w:val="both"/>
              <w:rPr>
                <w:color w:val="000000"/>
              </w:rPr>
            </w:pPr>
            <w:r>
              <w:rPr>
                <w:color w:val="000000"/>
              </w:rPr>
              <w:t>1B</w:t>
            </w:r>
          </w:p>
        </w:tc>
        <w:tc>
          <w:tcPr>
            <w:tcW w:w="2406" w:type="dxa"/>
            <w:tcBorders/>
            <w:shd w:fill="auto" w:val="clear"/>
          </w:tcPr>
          <w:p>
            <w:pPr>
              <w:pStyle w:val="Contenidodelatabla"/>
              <w:jc w:val="both"/>
              <w:rPr/>
            </w:pPr>
            <w:r>
              <w:rPr>
                <w:color w:val="000000"/>
              </w:rPr>
              <w:t>1</w:t>
            </w:r>
            <w:r>
              <w:rPr>
                <w:color w:val="000000"/>
              </w:rPr>
              <w:t>9</w:t>
            </w:r>
            <w:r>
              <w:rPr>
                <w:color w:val="000000"/>
              </w:rPr>
              <w:t>70 m</w:t>
            </w:r>
          </w:p>
        </w:tc>
      </w:tr>
      <w:tr>
        <w:trPr/>
        <w:tc>
          <w:tcPr>
            <w:tcW w:w="2410" w:type="dxa"/>
            <w:tcBorders/>
            <w:shd w:fill="auto" w:val="clear"/>
          </w:tcPr>
          <w:p>
            <w:pPr>
              <w:pStyle w:val="Contenidodelatabla"/>
              <w:jc w:val="both"/>
              <w:rPr>
                <w:color w:val="000000"/>
              </w:rPr>
            </w:pPr>
            <w:r>
              <w:rPr>
                <w:color w:val="000000"/>
              </w:rPr>
              <w:t>Sub18</w:t>
            </w:r>
          </w:p>
        </w:tc>
        <w:tc>
          <w:tcPr>
            <w:tcW w:w="2409" w:type="dxa"/>
            <w:tcBorders/>
            <w:shd w:fill="auto" w:val="clear"/>
          </w:tcPr>
          <w:p>
            <w:pPr>
              <w:pStyle w:val="Contenidodelatabla"/>
              <w:jc w:val="both"/>
              <w:rPr>
                <w:color w:val="000000"/>
              </w:rPr>
            </w:pPr>
            <w:r>
              <w:rPr>
                <w:color w:val="000000"/>
              </w:rPr>
              <w:t>2001/02</w:t>
            </w:r>
          </w:p>
        </w:tc>
        <w:tc>
          <w:tcPr>
            <w:tcW w:w="2412" w:type="dxa"/>
            <w:tcBorders/>
            <w:shd w:fill="auto" w:val="clear"/>
          </w:tcPr>
          <w:p>
            <w:pPr>
              <w:pStyle w:val="Contenidodelatabla"/>
              <w:jc w:val="both"/>
              <w:rPr>
                <w:color w:val="000000"/>
              </w:rPr>
            </w:pPr>
            <w:r>
              <w:rPr>
                <w:color w:val="000000"/>
              </w:rPr>
              <w:t>3C</w:t>
            </w:r>
          </w:p>
        </w:tc>
        <w:tc>
          <w:tcPr>
            <w:tcW w:w="2406" w:type="dxa"/>
            <w:tcBorders/>
            <w:shd w:fill="auto" w:val="clear"/>
          </w:tcPr>
          <w:p>
            <w:pPr>
              <w:pStyle w:val="Contenidodelatabla"/>
              <w:jc w:val="both"/>
              <w:rPr/>
            </w:pPr>
            <w:bookmarkStart w:id="0" w:name="__DdeLink__247_3361569770"/>
            <w:bookmarkStart w:id="1" w:name="__DdeLink__1_625927720"/>
            <w:bookmarkEnd w:id="1"/>
            <w:r>
              <w:rPr>
                <w:color w:val="000000"/>
              </w:rPr>
              <w:t>9</w:t>
            </w:r>
            <w:bookmarkEnd w:id="0"/>
            <w:r>
              <w:rPr>
                <w:color w:val="000000"/>
              </w:rPr>
              <w:t xml:space="preserve"> k</w:t>
            </w:r>
          </w:p>
        </w:tc>
      </w:tr>
      <w:tr>
        <w:trPr/>
        <w:tc>
          <w:tcPr>
            <w:tcW w:w="2410" w:type="dxa"/>
            <w:tcBorders/>
            <w:shd w:fill="auto" w:val="clear"/>
          </w:tcPr>
          <w:p>
            <w:pPr>
              <w:pStyle w:val="Contenidodelatabla"/>
              <w:jc w:val="both"/>
              <w:rPr>
                <w:color w:val="000000"/>
              </w:rPr>
            </w:pPr>
            <w:r>
              <w:rPr>
                <w:color w:val="000000"/>
              </w:rPr>
              <w:t>Sub20</w:t>
            </w:r>
          </w:p>
        </w:tc>
        <w:tc>
          <w:tcPr>
            <w:tcW w:w="2409" w:type="dxa"/>
            <w:tcBorders/>
            <w:shd w:fill="auto" w:val="clear"/>
          </w:tcPr>
          <w:p>
            <w:pPr>
              <w:pStyle w:val="Contenidodelatabla"/>
              <w:jc w:val="both"/>
              <w:rPr>
                <w:color w:val="000000"/>
              </w:rPr>
            </w:pPr>
            <w:r>
              <w:rPr>
                <w:color w:val="000000"/>
              </w:rPr>
              <w:t>1999/2000</w:t>
            </w:r>
          </w:p>
        </w:tc>
        <w:tc>
          <w:tcPr>
            <w:tcW w:w="2412" w:type="dxa"/>
            <w:tcBorders/>
            <w:shd w:fill="auto" w:val="clear"/>
          </w:tcPr>
          <w:p>
            <w:pPr>
              <w:pStyle w:val="Contenidodelatabla"/>
              <w:jc w:val="both"/>
              <w:rPr>
                <w:color w:val="000000"/>
              </w:rPr>
            </w:pPr>
            <w:r>
              <w:rPr>
                <w:color w:val="000000"/>
              </w:rPr>
              <w:t>3C</w:t>
            </w:r>
          </w:p>
        </w:tc>
        <w:tc>
          <w:tcPr>
            <w:tcW w:w="2406" w:type="dxa"/>
            <w:tcBorders/>
            <w:shd w:fill="auto" w:val="clear"/>
          </w:tcPr>
          <w:p>
            <w:pPr>
              <w:pStyle w:val="Contenidodelatabla"/>
              <w:jc w:val="both"/>
              <w:rPr/>
            </w:pPr>
            <w:r>
              <w:rPr>
                <w:color w:val="000000"/>
              </w:rPr>
              <w:t>9</w:t>
            </w:r>
            <w:r>
              <w:rPr>
                <w:color w:val="000000"/>
              </w:rPr>
              <w:t xml:space="preserve"> k</w:t>
            </w:r>
          </w:p>
        </w:tc>
      </w:tr>
      <w:tr>
        <w:trPr/>
        <w:tc>
          <w:tcPr>
            <w:tcW w:w="2410" w:type="dxa"/>
            <w:tcBorders/>
            <w:shd w:fill="auto" w:val="clear"/>
          </w:tcPr>
          <w:p>
            <w:pPr>
              <w:pStyle w:val="Contenidodelatabla"/>
              <w:jc w:val="both"/>
              <w:rPr>
                <w:color w:val="000000"/>
              </w:rPr>
            </w:pPr>
            <w:r>
              <w:rPr>
                <w:color w:val="000000"/>
              </w:rPr>
              <w:t>Sub 23</w:t>
            </w:r>
          </w:p>
        </w:tc>
        <w:tc>
          <w:tcPr>
            <w:tcW w:w="2409" w:type="dxa"/>
            <w:tcBorders/>
            <w:shd w:fill="auto" w:val="clear"/>
          </w:tcPr>
          <w:p>
            <w:pPr>
              <w:pStyle w:val="Contenidodelatabla"/>
              <w:jc w:val="both"/>
              <w:rPr>
                <w:color w:val="000000"/>
              </w:rPr>
            </w:pPr>
            <w:r>
              <w:rPr>
                <w:color w:val="000000"/>
              </w:rPr>
              <w:t>1996/98</w:t>
            </w:r>
          </w:p>
        </w:tc>
        <w:tc>
          <w:tcPr>
            <w:tcW w:w="2412" w:type="dxa"/>
            <w:tcBorders/>
            <w:shd w:fill="auto" w:val="clear"/>
          </w:tcPr>
          <w:p>
            <w:pPr>
              <w:pStyle w:val="Contenidodelatabla"/>
              <w:jc w:val="both"/>
              <w:rPr>
                <w:color w:val="000000"/>
              </w:rPr>
            </w:pPr>
            <w:r>
              <w:rPr>
                <w:color w:val="000000"/>
              </w:rPr>
              <w:t>3C</w:t>
            </w:r>
          </w:p>
        </w:tc>
        <w:tc>
          <w:tcPr>
            <w:tcW w:w="2406" w:type="dxa"/>
            <w:tcBorders/>
            <w:shd w:fill="auto" w:val="clear"/>
          </w:tcPr>
          <w:p>
            <w:pPr>
              <w:pStyle w:val="Contenidodelatabla"/>
              <w:jc w:val="both"/>
              <w:rPr/>
            </w:pPr>
            <w:r>
              <w:rPr>
                <w:color w:val="000000"/>
              </w:rPr>
              <w:t>9</w:t>
            </w:r>
            <w:r>
              <w:rPr>
                <w:color w:val="000000"/>
              </w:rPr>
              <w:t xml:space="preserve"> k</w:t>
            </w:r>
          </w:p>
        </w:tc>
      </w:tr>
      <w:tr>
        <w:trPr/>
        <w:tc>
          <w:tcPr>
            <w:tcW w:w="2410" w:type="dxa"/>
            <w:tcBorders/>
            <w:shd w:fill="auto" w:val="clear"/>
          </w:tcPr>
          <w:p>
            <w:pPr>
              <w:pStyle w:val="Contenidodelatabla"/>
              <w:jc w:val="both"/>
              <w:rPr>
                <w:color w:val="00B050"/>
              </w:rPr>
            </w:pPr>
            <w:r>
              <w:rPr>
                <w:color w:val="000000"/>
              </w:rPr>
              <w:t>Senior</w:t>
            </w:r>
          </w:p>
        </w:tc>
        <w:tc>
          <w:tcPr>
            <w:tcW w:w="2409" w:type="dxa"/>
            <w:tcBorders/>
            <w:shd w:fill="auto" w:val="clear"/>
          </w:tcPr>
          <w:p>
            <w:pPr>
              <w:pStyle w:val="Contenidodelatabla"/>
              <w:jc w:val="both"/>
              <w:rPr>
                <w:color w:val="00B050"/>
              </w:rPr>
            </w:pPr>
            <w:r>
              <w:rPr>
                <w:color w:val="000000"/>
              </w:rPr>
              <w:t>1983/95</w:t>
            </w:r>
          </w:p>
        </w:tc>
        <w:tc>
          <w:tcPr>
            <w:tcW w:w="2412" w:type="dxa"/>
            <w:tcBorders/>
            <w:shd w:fill="auto" w:val="clear"/>
          </w:tcPr>
          <w:p>
            <w:pPr>
              <w:pStyle w:val="Contenidodelatabla"/>
              <w:jc w:val="both"/>
              <w:rPr>
                <w:color w:val="000000"/>
              </w:rPr>
            </w:pPr>
            <w:bookmarkStart w:id="2" w:name="__DdeLink__3_625927720"/>
            <w:bookmarkEnd w:id="2"/>
            <w:r>
              <w:rPr>
                <w:color w:val="000000"/>
              </w:rPr>
              <w:t>3C</w:t>
            </w:r>
          </w:p>
        </w:tc>
        <w:tc>
          <w:tcPr>
            <w:tcW w:w="2406" w:type="dxa"/>
            <w:tcBorders/>
            <w:shd w:fill="auto" w:val="clear"/>
          </w:tcPr>
          <w:p>
            <w:pPr>
              <w:pStyle w:val="Contenidodelatabla"/>
              <w:jc w:val="both"/>
              <w:rPr/>
            </w:pPr>
            <w:r>
              <w:rPr>
                <w:color w:val="000000"/>
              </w:rPr>
              <w:t>9</w:t>
            </w:r>
            <w:r>
              <w:rPr>
                <w:color w:val="000000"/>
              </w:rPr>
              <w:t xml:space="preserve"> k</w:t>
            </w:r>
          </w:p>
        </w:tc>
      </w:tr>
      <w:tr>
        <w:trPr/>
        <w:tc>
          <w:tcPr>
            <w:tcW w:w="2410" w:type="dxa"/>
            <w:tcBorders/>
            <w:shd w:fill="auto" w:val="clear"/>
          </w:tcPr>
          <w:p>
            <w:pPr>
              <w:pStyle w:val="Contenidodelatabla"/>
              <w:jc w:val="both"/>
              <w:rPr>
                <w:color w:val="00B050"/>
              </w:rPr>
            </w:pPr>
            <w:r>
              <w:rPr>
                <w:color w:val="000000"/>
              </w:rPr>
              <w:t>Master A</w:t>
            </w:r>
          </w:p>
        </w:tc>
        <w:tc>
          <w:tcPr>
            <w:tcW w:w="2409" w:type="dxa"/>
            <w:tcBorders/>
            <w:shd w:fill="auto" w:val="clear"/>
          </w:tcPr>
          <w:p>
            <w:pPr>
              <w:pStyle w:val="Contenidodelatabla"/>
              <w:jc w:val="both"/>
              <w:rPr>
                <w:color w:val="000000"/>
              </w:rPr>
            </w:pPr>
            <w:r>
              <w:rPr>
                <w:color w:val="000000"/>
              </w:rPr>
              <w:t>1978/82</w:t>
            </w:r>
          </w:p>
        </w:tc>
        <w:tc>
          <w:tcPr>
            <w:tcW w:w="2412" w:type="dxa"/>
            <w:tcBorders/>
            <w:shd w:fill="auto" w:val="clear"/>
          </w:tcPr>
          <w:p>
            <w:pPr>
              <w:pStyle w:val="Contenidodelatabla"/>
              <w:jc w:val="both"/>
              <w:rPr>
                <w:color w:val="000000"/>
              </w:rPr>
            </w:pPr>
            <w:r>
              <w:rPr>
                <w:color w:val="000000"/>
              </w:rPr>
              <w:t>3C</w:t>
            </w:r>
          </w:p>
        </w:tc>
        <w:tc>
          <w:tcPr>
            <w:tcW w:w="2406" w:type="dxa"/>
            <w:tcBorders/>
            <w:shd w:fill="auto" w:val="clear"/>
          </w:tcPr>
          <w:p>
            <w:pPr>
              <w:pStyle w:val="Contenidodelatabla"/>
              <w:jc w:val="both"/>
              <w:rPr/>
            </w:pPr>
            <w:r>
              <w:rPr>
                <w:color w:val="000000"/>
              </w:rPr>
              <w:t>9</w:t>
            </w:r>
            <w:r>
              <w:rPr>
                <w:color w:val="000000"/>
              </w:rPr>
              <w:t xml:space="preserve"> k</w:t>
            </w:r>
          </w:p>
        </w:tc>
      </w:tr>
      <w:tr>
        <w:trPr/>
        <w:tc>
          <w:tcPr>
            <w:tcW w:w="2410" w:type="dxa"/>
            <w:tcBorders/>
            <w:shd w:fill="auto" w:val="clear"/>
          </w:tcPr>
          <w:p>
            <w:pPr>
              <w:pStyle w:val="Contenidodelatabla"/>
              <w:jc w:val="both"/>
              <w:rPr>
                <w:color w:val="00B050"/>
              </w:rPr>
            </w:pPr>
            <w:r>
              <w:rPr>
                <w:color w:val="000000"/>
              </w:rPr>
              <w:t>Master B</w:t>
            </w:r>
          </w:p>
        </w:tc>
        <w:tc>
          <w:tcPr>
            <w:tcW w:w="2409" w:type="dxa"/>
            <w:tcBorders/>
            <w:shd w:fill="auto" w:val="clear"/>
          </w:tcPr>
          <w:p>
            <w:pPr>
              <w:pStyle w:val="Contenidodelatabla"/>
              <w:jc w:val="both"/>
              <w:rPr>
                <w:color w:val="000000"/>
              </w:rPr>
            </w:pPr>
            <w:r>
              <w:rPr>
                <w:color w:val="000000"/>
              </w:rPr>
              <w:t>1973/77</w:t>
            </w:r>
          </w:p>
        </w:tc>
        <w:tc>
          <w:tcPr>
            <w:tcW w:w="2412" w:type="dxa"/>
            <w:tcBorders/>
            <w:shd w:fill="auto" w:val="clear"/>
          </w:tcPr>
          <w:p>
            <w:pPr>
              <w:pStyle w:val="Contenidodelatabla"/>
              <w:jc w:val="both"/>
              <w:rPr>
                <w:color w:val="000000"/>
              </w:rPr>
            </w:pPr>
            <w:r>
              <w:rPr>
                <w:color w:val="000000"/>
              </w:rPr>
              <w:t>3C</w:t>
            </w:r>
          </w:p>
        </w:tc>
        <w:tc>
          <w:tcPr>
            <w:tcW w:w="2406" w:type="dxa"/>
            <w:tcBorders/>
            <w:shd w:fill="auto" w:val="clear"/>
          </w:tcPr>
          <w:p>
            <w:pPr>
              <w:pStyle w:val="Contenidodelatabla"/>
              <w:jc w:val="both"/>
              <w:rPr/>
            </w:pPr>
            <w:r>
              <w:rPr>
                <w:color w:val="000000"/>
              </w:rPr>
              <w:t>9</w:t>
            </w:r>
            <w:r>
              <w:rPr>
                <w:color w:val="000000"/>
              </w:rPr>
              <w:t xml:space="preserve"> k</w:t>
            </w:r>
          </w:p>
        </w:tc>
      </w:tr>
      <w:tr>
        <w:trPr/>
        <w:tc>
          <w:tcPr>
            <w:tcW w:w="2410" w:type="dxa"/>
            <w:tcBorders/>
            <w:shd w:fill="auto" w:val="clear"/>
          </w:tcPr>
          <w:p>
            <w:pPr>
              <w:pStyle w:val="Contenidodelatabla"/>
              <w:jc w:val="both"/>
              <w:rPr>
                <w:color w:val="00B050"/>
              </w:rPr>
            </w:pPr>
            <w:r>
              <w:rPr>
                <w:color w:val="000000"/>
              </w:rPr>
              <w:t>Master C</w:t>
            </w:r>
          </w:p>
        </w:tc>
        <w:tc>
          <w:tcPr>
            <w:tcW w:w="2409" w:type="dxa"/>
            <w:tcBorders/>
            <w:shd w:fill="auto" w:val="clear"/>
          </w:tcPr>
          <w:p>
            <w:pPr>
              <w:pStyle w:val="Contenidodelatabla"/>
              <w:jc w:val="both"/>
              <w:rPr>
                <w:color w:val="000000"/>
              </w:rPr>
            </w:pPr>
            <w:r>
              <w:rPr>
                <w:color w:val="000000"/>
              </w:rPr>
              <w:t>1972 y anteriores</w:t>
            </w:r>
          </w:p>
        </w:tc>
        <w:tc>
          <w:tcPr>
            <w:tcW w:w="2412" w:type="dxa"/>
            <w:tcBorders/>
            <w:shd w:fill="auto" w:val="clear"/>
          </w:tcPr>
          <w:p>
            <w:pPr>
              <w:pStyle w:val="Contenidodelatabla"/>
              <w:jc w:val="both"/>
              <w:rPr>
                <w:color w:val="000000"/>
              </w:rPr>
            </w:pPr>
            <w:r>
              <w:rPr>
                <w:color w:val="000000"/>
              </w:rPr>
              <w:t>3C</w:t>
            </w:r>
          </w:p>
        </w:tc>
        <w:tc>
          <w:tcPr>
            <w:tcW w:w="2406" w:type="dxa"/>
            <w:tcBorders/>
            <w:shd w:fill="auto" w:val="clear"/>
          </w:tcPr>
          <w:p>
            <w:pPr>
              <w:pStyle w:val="Contenidodelatabla"/>
              <w:jc w:val="both"/>
              <w:rPr/>
            </w:pPr>
            <w:r>
              <w:rPr>
                <w:color w:val="000000"/>
              </w:rPr>
              <w:t>9</w:t>
            </w:r>
            <w:r>
              <w:rPr>
                <w:color w:val="000000"/>
              </w:rPr>
              <w:t xml:space="preserve"> k</w:t>
            </w:r>
          </w:p>
        </w:tc>
      </w:tr>
    </w:tbl>
    <w:p>
      <w:pPr>
        <w:pStyle w:val="Standard"/>
        <w:jc w:val="both"/>
        <w:rPr>
          <w:color w:val="000000"/>
        </w:rPr>
      </w:pPr>
      <w:r>
        <w:rPr>
          <w:color w:val="000000"/>
        </w:rPr>
      </w:r>
    </w:p>
    <w:p>
      <w:pPr>
        <w:pStyle w:val="Standard"/>
        <w:jc w:val="both"/>
        <w:rPr>
          <w:color w:val="000000"/>
        </w:rPr>
      </w:pPr>
      <w:r>
        <w:rPr>
          <w:color w:val="000000"/>
        </w:rPr>
      </w:r>
    </w:p>
    <w:p>
      <w:pPr>
        <w:pStyle w:val="Standard"/>
        <w:jc w:val="both"/>
        <w:rPr>
          <w:color w:val="000000"/>
        </w:rPr>
      </w:pPr>
      <w:r>
        <w:rPr>
          <w:color w:val="000000"/>
        </w:rPr>
        <w:t xml:space="preserve">6. </w:t>
      </w:r>
      <w:r>
        <w:rPr>
          <w:color w:val="000000"/>
          <w:u w:val="single"/>
        </w:rPr>
        <w:t>Supresión de categorías</w:t>
      </w:r>
      <w:r>
        <w:rPr>
          <w:color w:val="000000"/>
        </w:rPr>
        <w:t>: la organización se reserva el derecho de suprimir alguna/s de las categorías convocadas en función del número de atletas o cualquier otro motivo.</w:t>
      </w:r>
    </w:p>
    <w:p>
      <w:pPr>
        <w:pStyle w:val="Standard"/>
        <w:jc w:val="both"/>
        <w:rPr>
          <w:color w:val="000000"/>
        </w:rPr>
      </w:pPr>
      <w:r>
        <w:rPr>
          <w:color w:val="000000"/>
        </w:rPr>
      </w:r>
    </w:p>
    <w:p>
      <w:pPr>
        <w:pStyle w:val="Standard"/>
        <w:jc w:val="both"/>
        <w:rPr>
          <w:color w:val="000000"/>
        </w:rPr>
      </w:pPr>
      <w:r>
        <w:rPr>
          <w:color w:val="000000"/>
        </w:rPr>
        <w:t xml:space="preserve">7. </w:t>
      </w:r>
      <w:r>
        <w:rPr>
          <w:color w:val="000000"/>
          <w:u w:val="single"/>
        </w:rPr>
        <w:t>Descalificaciones</w:t>
      </w:r>
      <w:r>
        <w:rPr>
          <w:color w:val="000000"/>
        </w:rPr>
        <w:t>: serán causa de descalificación:</w:t>
      </w:r>
    </w:p>
    <w:p>
      <w:pPr>
        <w:pStyle w:val="Standard"/>
        <w:numPr>
          <w:ilvl w:val="0"/>
          <w:numId w:val="2"/>
        </w:numPr>
        <w:jc w:val="both"/>
        <w:rPr>
          <w:color w:val="00B050"/>
        </w:rPr>
      </w:pPr>
      <w:r>
        <w:rPr>
          <w:color w:val="000000"/>
        </w:rPr>
        <w:t xml:space="preserve"> </w:t>
      </w:r>
      <w:r>
        <w:rPr>
          <w:color w:val="000000"/>
        </w:rPr>
        <w:t>No realizar el recorrido completo.</w:t>
      </w:r>
    </w:p>
    <w:p>
      <w:pPr>
        <w:pStyle w:val="Standard"/>
        <w:numPr>
          <w:ilvl w:val="0"/>
          <w:numId w:val="2"/>
        </w:numPr>
        <w:jc w:val="both"/>
        <w:rPr>
          <w:color w:val="000000"/>
        </w:rPr>
      </w:pPr>
      <w:r>
        <w:rPr>
          <w:color w:val="000000"/>
        </w:rPr>
        <w:t xml:space="preserve"> </w:t>
      </w:r>
      <w:r>
        <w:rPr>
          <w:color w:val="000000"/>
        </w:rPr>
        <w:t>No llevar el dorsal bien visible según lo establecido en el punto 4, lo manipule y/o lo ceda a otros.</w:t>
      </w:r>
    </w:p>
    <w:p>
      <w:pPr>
        <w:pStyle w:val="Standard"/>
        <w:numPr>
          <w:ilvl w:val="0"/>
          <w:numId w:val="2"/>
        </w:numPr>
        <w:jc w:val="both"/>
        <w:rPr>
          <w:color w:val="000000"/>
        </w:rPr>
      </w:pPr>
      <w:r>
        <w:rPr>
          <w:color w:val="000000"/>
        </w:rPr>
        <w:t xml:space="preserve"> </w:t>
      </w:r>
      <w:r>
        <w:rPr>
          <w:color w:val="000000"/>
        </w:rPr>
        <w:t>Alteración de datos personales en la inscripción.</w:t>
      </w:r>
    </w:p>
    <w:p>
      <w:pPr>
        <w:pStyle w:val="Standard"/>
        <w:numPr>
          <w:ilvl w:val="0"/>
          <w:numId w:val="2"/>
        </w:numPr>
        <w:jc w:val="both"/>
        <w:rPr>
          <w:color w:val="000000"/>
        </w:rPr>
      </w:pPr>
      <w:r>
        <w:rPr>
          <w:color w:val="000000"/>
        </w:rPr>
        <w:t xml:space="preserve"> </w:t>
      </w:r>
      <w:r>
        <w:rPr>
          <w:color w:val="000000"/>
        </w:rPr>
        <w:t>No atender las indicaciones de la organización de la prueba.</w:t>
      </w:r>
    </w:p>
    <w:p>
      <w:pPr>
        <w:pStyle w:val="Standard"/>
        <w:numPr>
          <w:ilvl w:val="0"/>
          <w:numId w:val="2"/>
        </w:numPr>
        <w:jc w:val="both"/>
        <w:rPr>
          <w:color w:val="000000"/>
        </w:rPr>
      </w:pPr>
      <w:r>
        <w:rPr>
          <w:color w:val="000000"/>
        </w:rPr>
        <w:t>Descalificación pasiva: Queda terminantemente prohibido acompañar a los atletas durante la carrera; este hecho puede acarrear la descalificación del corredor.</w:t>
      </w:r>
    </w:p>
    <w:p>
      <w:pPr>
        <w:pStyle w:val="Standard"/>
        <w:jc w:val="both"/>
        <w:rPr>
          <w:color w:val="000000"/>
        </w:rPr>
      </w:pPr>
      <w:r>
        <w:rPr>
          <w:color w:val="000000"/>
        </w:rPr>
      </w:r>
    </w:p>
    <w:p>
      <w:pPr>
        <w:pStyle w:val="Standard"/>
        <w:jc w:val="both"/>
        <w:rPr>
          <w:color w:val="000000"/>
        </w:rPr>
      </w:pPr>
      <w:r>
        <w:rPr>
          <w:color w:val="000000"/>
        </w:rPr>
        <w:t xml:space="preserve">8. </w:t>
      </w:r>
      <w:r>
        <w:rPr>
          <w:color w:val="000000"/>
          <w:u w:val="single"/>
        </w:rPr>
        <w:t>Cierre de control</w:t>
      </w:r>
      <w:r>
        <w:rPr>
          <w:color w:val="000000"/>
        </w:rPr>
        <w:t>: el control de meta se cerrará a los 90' (noventa minutos) después de comenzada. Será condición necesaria para obtener la camiseta conmemorativa entrar antes del cierre de control.</w:t>
      </w:r>
    </w:p>
    <w:p>
      <w:pPr>
        <w:pStyle w:val="Standard"/>
        <w:jc w:val="both"/>
        <w:rPr>
          <w:color w:val="000000"/>
        </w:rPr>
      </w:pPr>
      <w:r>
        <w:rPr>
          <w:color w:val="000000"/>
        </w:rPr>
      </w:r>
    </w:p>
    <w:p>
      <w:pPr>
        <w:pStyle w:val="Standard"/>
        <w:jc w:val="both"/>
        <w:rPr>
          <w:color w:val="000000"/>
        </w:rPr>
      </w:pPr>
      <w:r>
        <w:rPr>
          <w:color w:val="000000"/>
        </w:rPr>
        <w:t>9. R</w:t>
      </w:r>
      <w:r>
        <w:rPr>
          <w:color w:val="000000"/>
          <w:u w:val="single"/>
        </w:rPr>
        <w:t>eclamaciones:</w:t>
      </w:r>
      <w:r>
        <w:rPr>
          <w:color w:val="000000"/>
        </w:rPr>
        <w:t xml:space="preserve"> tras la publicación de los resultados provisionales, se abrirá un plazo de 30' (treinta minutos) antes de su publicación definitiva.</w:t>
      </w:r>
    </w:p>
    <w:p>
      <w:pPr>
        <w:pStyle w:val="Standard"/>
        <w:jc w:val="both"/>
        <w:rPr>
          <w:color w:val="000000"/>
        </w:rPr>
      </w:pPr>
      <w:r>
        <w:rPr>
          <w:color w:val="000000"/>
        </w:rPr>
      </w:r>
    </w:p>
    <w:p>
      <w:pPr>
        <w:pStyle w:val="Standard"/>
        <w:jc w:val="both"/>
        <w:rPr>
          <w:color w:val="000000"/>
        </w:rPr>
      </w:pPr>
      <w:r>
        <w:rPr>
          <w:color w:val="000000"/>
        </w:rPr>
        <w:t xml:space="preserve">10. </w:t>
      </w:r>
      <w:r>
        <w:rPr>
          <w:color w:val="000000"/>
          <w:u w:val="single"/>
        </w:rPr>
        <w:t>Ámbito federativo</w:t>
      </w:r>
      <w:r>
        <w:rPr>
          <w:color w:val="000000"/>
        </w:rPr>
        <w:t>. Para cualquier reclamación o duda sobre la reglamentación no recogida en la presente convocatoria, se estará a lo dispuesto por normativa de la R.F.E.A. y F.A.A. a través de la Delegación Onubense.</w:t>
      </w:r>
    </w:p>
    <w:p>
      <w:pPr>
        <w:pStyle w:val="Standard"/>
        <w:jc w:val="both"/>
        <w:rPr>
          <w:color w:val="000000"/>
        </w:rPr>
      </w:pPr>
      <w:r>
        <w:rPr>
          <w:color w:val="000000"/>
        </w:rPr>
      </w:r>
    </w:p>
    <w:p>
      <w:pPr>
        <w:pStyle w:val="Standard"/>
        <w:jc w:val="both"/>
        <w:rPr>
          <w:color w:val="000000"/>
        </w:rPr>
      </w:pPr>
      <w:r>
        <w:rPr>
          <w:color w:val="000000"/>
        </w:rPr>
        <w:t xml:space="preserve">11. </w:t>
      </w:r>
      <w:r>
        <w:rPr>
          <w:color w:val="000000"/>
          <w:u w:val="single"/>
        </w:rPr>
        <w:t>Aceptación de normativa</w:t>
      </w:r>
      <w:r>
        <w:rPr>
          <w:color w:val="000000"/>
        </w:rPr>
        <w:t>: los participantes, por el mero hecho de su inscripción y tomar parte en la salida, acepta plenamente las normas y reglamento de la prueba, así como cuantas instrucciones y decisiones sean comunicadas por la organización y dirección de la misma.</w:t>
      </w:r>
    </w:p>
    <w:p>
      <w:pPr>
        <w:pStyle w:val="Standard"/>
        <w:jc w:val="both"/>
        <w:rPr>
          <w:color w:val="000000"/>
        </w:rPr>
      </w:pPr>
      <w:r>
        <w:rPr>
          <w:color w:val="000000"/>
        </w:rPr>
      </w:r>
    </w:p>
    <w:p>
      <w:pPr>
        <w:pStyle w:val="Standard"/>
        <w:jc w:val="both"/>
        <w:rPr>
          <w:color w:val="000000"/>
        </w:rPr>
      </w:pPr>
      <w:r>
        <w:rPr>
          <w:color w:val="000000"/>
        </w:rPr>
        <w:t xml:space="preserve">12. </w:t>
      </w:r>
      <w:r>
        <w:rPr>
          <w:color w:val="000000"/>
          <w:u w:val="single"/>
        </w:rPr>
        <w:t>Responsabilidad</w:t>
      </w:r>
      <w:r>
        <w:rPr>
          <w:color w:val="000000"/>
        </w:rPr>
        <w:t>: la organización declina toda responsabilidad de los daños que los atletas pudieran sufrir, ocasionar o derivarse de su participación en la prueba.</w:t>
      </w:r>
    </w:p>
    <w:p>
      <w:pPr>
        <w:pStyle w:val="Standard"/>
        <w:jc w:val="both"/>
        <w:rPr>
          <w:color w:val="000000"/>
        </w:rPr>
      </w:pPr>
      <w:r>
        <w:rPr>
          <w:color w:val="000000"/>
        </w:rPr>
      </w:r>
    </w:p>
    <w:p>
      <w:pPr>
        <w:pStyle w:val="Standard"/>
        <w:jc w:val="both"/>
        <w:rPr>
          <w:color w:val="000000"/>
        </w:rPr>
      </w:pPr>
      <w:r>
        <w:rPr>
          <w:color w:val="000000"/>
        </w:rPr>
        <w:t xml:space="preserve">13. </w:t>
      </w:r>
      <w:r>
        <w:rPr>
          <w:color w:val="000000"/>
          <w:u w:val="single"/>
        </w:rPr>
        <w:t>Voluntariado</w:t>
      </w:r>
      <w:r>
        <w:rPr>
          <w:color w:val="000000"/>
        </w:rPr>
        <w:t>: existirá personal voluntario para atención de los atletas. Tendrán en todo momento consideración de “organización” y, en cualquier caso avalado por ella; sus instrucciones deberán ser atendidas por todos los participantes.</w:t>
      </w:r>
    </w:p>
    <w:p>
      <w:pPr>
        <w:pStyle w:val="Standard"/>
        <w:jc w:val="both"/>
        <w:rPr>
          <w:color w:val="000000"/>
        </w:rPr>
      </w:pPr>
      <w:r>
        <w:rPr>
          <w:color w:val="000000"/>
        </w:rPr>
      </w:r>
    </w:p>
    <w:p>
      <w:pPr>
        <w:pStyle w:val="Standard"/>
        <w:jc w:val="both"/>
        <w:rPr>
          <w:color w:val="000000"/>
        </w:rPr>
      </w:pPr>
      <w:r>
        <w:rPr>
          <w:color w:val="000000"/>
        </w:rPr>
        <w:t xml:space="preserve">14. </w:t>
      </w:r>
      <w:r>
        <w:rPr>
          <w:color w:val="000000"/>
          <w:u w:val="single"/>
        </w:rPr>
        <w:t>Avituallamientos</w:t>
      </w:r>
      <w:r>
        <w:rPr>
          <w:color w:val="000000"/>
        </w:rPr>
        <w:t>: se instalará un punto de avituallamiento con agua al paso por la meta.</w:t>
      </w:r>
    </w:p>
    <w:p>
      <w:pPr>
        <w:pStyle w:val="Standard"/>
        <w:jc w:val="both"/>
        <w:rPr>
          <w:color w:val="000000"/>
        </w:rPr>
      </w:pPr>
      <w:r>
        <w:rPr>
          <w:color w:val="000000"/>
        </w:rPr>
      </w:r>
    </w:p>
    <w:p>
      <w:pPr>
        <w:pStyle w:val="Standard"/>
        <w:jc w:val="both"/>
        <w:rPr>
          <w:color w:val="000000"/>
        </w:rPr>
      </w:pPr>
      <w:r>
        <w:rPr>
          <w:color w:val="000000"/>
        </w:rPr>
        <w:t xml:space="preserve">15. </w:t>
      </w:r>
      <w:r>
        <w:rPr>
          <w:color w:val="000000"/>
          <w:u w:val="single"/>
        </w:rPr>
        <w:t>Vehículos de acompañamiento</w:t>
      </w:r>
      <w:r>
        <w:rPr>
          <w:color w:val="000000"/>
        </w:rPr>
        <w:t>: la organización dispondrá de un vehículo equipado con cronómetro que abrirá la prueba en los primeros metros del recorrido; luego se situará en la zona de meta. Dispondrá también de un vehículo de recogida de corredores que, una vez pase por meta el último corredor tras el primer giro, irá detrás de éste; su misión será recoger a aquellos que abandonen la carrera por cualquier motivo. La organización dispondrá de un dispositivo de atención sanitaria.</w:t>
      </w:r>
    </w:p>
    <w:p>
      <w:pPr>
        <w:pStyle w:val="Standard"/>
        <w:jc w:val="both"/>
        <w:rPr>
          <w:color w:val="000000"/>
        </w:rPr>
      </w:pPr>
      <w:r>
        <w:rPr>
          <w:color w:val="000000"/>
        </w:rPr>
      </w:r>
    </w:p>
    <w:p>
      <w:pPr>
        <w:pStyle w:val="Standard"/>
        <w:jc w:val="both"/>
        <w:rPr>
          <w:color w:val="000000"/>
        </w:rPr>
      </w:pPr>
      <w:r>
        <w:rPr>
          <w:color w:val="000000"/>
        </w:rPr>
        <w:t xml:space="preserve">16. </w:t>
      </w:r>
      <w:r>
        <w:rPr>
          <w:color w:val="000000"/>
          <w:u w:val="single"/>
        </w:rPr>
        <w:t>Trofeos y premios</w:t>
      </w:r>
      <w:r>
        <w:rPr>
          <w:color w:val="000000"/>
        </w:rPr>
        <w:t>:</w:t>
      </w:r>
    </w:p>
    <w:p>
      <w:pPr>
        <w:pStyle w:val="Standard"/>
        <w:jc w:val="both"/>
        <w:rPr>
          <w:color w:val="000000"/>
        </w:rPr>
      </w:pPr>
      <w:r>
        <w:rPr>
          <w:color w:val="000000"/>
        </w:rPr>
      </w:r>
    </w:p>
    <w:p>
      <w:pPr>
        <w:pStyle w:val="Standard"/>
        <w:jc w:val="both"/>
        <w:rPr>
          <w:color w:val="000000"/>
        </w:rPr>
      </w:pPr>
      <w:r>
        <w:rPr>
          <w:color w:val="000000"/>
        </w:rPr>
        <w:t>Premios a la participación: por finalizar la prueba, todo corredor recibirá una camiseta conmemorativa; su entrega estará condicionada a la presentación del dorsal, que será marcado. También recibirá un tique para una bebida gratuita en el bar del Muelle de las Carabelas.</w:t>
      </w:r>
    </w:p>
    <w:p>
      <w:pPr>
        <w:pStyle w:val="Standard"/>
        <w:jc w:val="both"/>
        <w:rPr>
          <w:color w:val="000000"/>
        </w:rPr>
      </w:pPr>
      <w:r>
        <w:rPr>
          <w:color w:val="000000"/>
        </w:rPr>
      </w:r>
    </w:p>
    <w:p>
      <w:pPr>
        <w:pStyle w:val="Standard"/>
        <w:jc w:val="both"/>
        <w:rPr/>
      </w:pPr>
      <w:r>
        <w:rPr>
          <w:b/>
          <w:bCs/>
          <w:color w:val="000000"/>
        </w:rPr>
        <w:t>Medallas</w:t>
      </w:r>
      <w:r>
        <w:rPr>
          <w:color w:val="000000"/>
        </w:rPr>
        <w:t>: para los tres primeros clasificados de cada categoría masculina y femenina de sub 10 a sub 16.</w:t>
      </w:r>
    </w:p>
    <w:p>
      <w:pPr>
        <w:pStyle w:val="Standard"/>
        <w:jc w:val="both"/>
        <w:rPr>
          <w:color w:val="000000"/>
        </w:rPr>
      </w:pPr>
      <w:r>
        <w:rPr>
          <w:color w:val="000000"/>
        </w:rPr>
      </w:r>
    </w:p>
    <w:p>
      <w:pPr>
        <w:pStyle w:val="Standard"/>
        <w:jc w:val="both"/>
        <w:rPr/>
      </w:pPr>
      <w:r>
        <w:rPr>
          <w:b/>
          <w:bCs/>
          <w:color w:val="000000"/>
        </w:rPr>
        <w:t>Trofeos:</w:t>
      </w:r>
      <w:r>
        <w:rPr>
          <w:color w:val="000000"/>
        </w:rPr>
        <w:t xml:space="preserve"> para los tres primeros clasificados del resto de categorías y general masculina y femenina, contando las categorías Sub18, Sub20 y Sub23 como una categoría única; los tres primeros de la clasificación general masculina y femenina.</w:t>
      </w:r>
    </w:p>
    <w:p>
      <w:pPr>
        <w:pStyle w:val="Standard"/>
        <w:jc w:val="both"/>
        <w:rPr>
          <w:color w:val="000000"/>
        </w:rPr>
      </w:pPr>
      <w:r>
        <w:rPr>
          <w:color w:val="000000"/>
        </w:rPr>
        <w:tab/>
      </w:r>
    </w:p>
    <w:p>
      <w:pPr>
        <w:pStyle w:val="Standard"/>
        <w:jc w:val="both"/>
        <w:rPr>
          <w:color w:val="000000"/>
        </w:rPr>
      </w:pPr>
      <w:r>
        <w:rPr>
          <w:color w:val="000000"/>
        </w:rPr>
        <w:tab/>
        <w:t>La entrega para categorías menores se hará desde las 21:30; para las categorías superiores está prevista para las 24:00h. No serán acumulables; tendrá preferencia la clasificación absoluta ante las categorías parciales en todos los casos.</w:t>
      </w:r>
    </w:p>
    <w:p>
      <w:pPr>
        <w:pStyle w:val="Standard"/>
        <w:jc w:val="both"/>
        <w:rPr>
          <w:color w:val="000000"/>
        </w:rPr>
      </w:pPr>
      <w:r>
        <w:rPr>
          <w:color w:val="000000"/>
        </w:rPr>
      </w:r>
    </w:p>
    <w:p>
      <w:pPr>
        <w:pStyle w:val="Standard"/>
        <w:jc w:val="both"/>
        <w:rPr>
          <w:color w:val="000000"/>
        </w:rPr>
      </w:pPr>
      <w:r>
        <w:rPr>
          <w:color w:val="000000"/>
        </w:rPr>
        <w:t xml:space="preserve">17. </w:t>
      </w:r>
      <w:r>
        <w:rPr>
          <w:color w:val="000000"/>
          <w:u w:val="single"/>
        </w:rPr>
        <w:t>Servicios</w:t>
      </w:r>
      <w:r>
        <w:rPr>
          <w:color w:val="000000"/>
        </w:rPr>
        <w:t>:</w:t>
      </w:r>
    </w:p>
    <w:p>
      <w:pPr>
        <w:pStyle w:val="Standard"/>
        <w:jc w:val="both"/>
        <w:rPr>
          <w:color w:val="000000"/>
        </w:rPr>
      </w:pPr>
      <w:r>
        <w:rPr>
          <w:b/>
          <w:bCs/>
          <w:color w:val="000000"/>
        </w:rPr>
        <w:t>Guardarropa</w:t>
      </w:r>
      <w:r>
        <w:rPr>
          <w:color w:val="000000"/>
        </w:rPr>
        <w:t>: la organización dispondrá de espacios para que los corredores puedan depositar sus enseres personales. La organización custodiará lo entregado en una bolsa cerrada, a la que se le adjudicará el número de dorsal de correspondiente. Se recomienda que no vayan en ella objetos de valor; la organización no se responsabilizará del contenido de la misma.</w:t>
      </w:r>
    </w:p>
    <w:p>
      <w:pPr>
        <w:pStyle w:val="Standard"/>
        <w:jc w:val="both"/>
        <w:rPr/>
      </w:pPr>
      <w:r>
        <w:rPr/>
      </w:r>
    </w:p>
    <w:sectPr>
      <w:type w:val="nextPage"/>
      <w:pgSz w:w="11906" w:h="16838"/>
      <w:pgMar w:left="1134" w:right="1134" w:header="0" w:top="1134" w:footer="0" w:bottom="1134" w:gutter="0"/>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OpenSymbol">
    <w:altName w:val="Arial Unicode MS"/>
    <w:charset w:val="01"/>
    <w:family w:val="roman"/>
    <w:pitch w:val="variable"/>
  </w:font>
  <w:font w:name="Liberation Sans">
    <w:altName w:val="Arial"/>
    <w:charset w:val="01"/>
    <w:family w:val="roman"/>
    <w:pitch w:val="variable"/>
  </w:font>
  <w:font w:name="Symbol">
    <w:charset w:val="02"/>
    <w:family w:val="auto"/>
    <w:pitch w:val="fixed"/>
  </w:font>
  <w:font w:name="OpenSymbol">
    <w:altName w:val="Arial Unicode MS"/>
    <w:charset w:val="01"/>
    <w:family w:val="auto"/>
    <w:pitch w:val="variable"/>
  </w:font>
  <w:font w:name="Wingdings">
    <w:charset w:val="02"/>
    <w:family w:val="auto"/>
    <w:pitch w:val="fixed"/>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numFmt w:val="bullet"/>
      <w:lvlText w:val=""/>
      <w:lvlJc w:val="left"/>
      <w:pPr>
        <w:ind w:left="720" w:hanging="360"/>
      </w:pPr>
      <w:rPr>
        <w:rFonts w:ascii="Symbol" w:hAnsi="Symbol" w:cs="Symbol" w:hint="default"/>
        <w:rFonts w:cs="OpenSymbol"/>
      </w:rPr>
    </w:lvl>
    <w:lvl w:ilvl="1">
      <w:start w:val="1"/>
      <w:numFmt w:val="bullet"/>
      <w:lvlText w:val="◦"/>
      <w:lvlJc w:val="left"/>
      <w:pPr>
        <w:ind w:left="1080" w:hanging="360"/>
      </w:pPr>
      <w:rPr>
        <w:rFonts w:ascii="OpenSymbol" w:hAnsi="OpenSymbol" w:cs="OpenSymbol" w:hint="default"/>
        <w:rFonts w:cs="OpenSymbol"/>
      </w:rPr>
    </w:lvl>
    <w:lvl w:ilvl="2">
      <w:start w:val="1"/>
      <w:numFmt w:val="bullet"/>
      <w:lvlText w:val="▪"/>
      <w:lvlJc w:val="left"/>
      <w:pPr>
        <w:ind w:left="1440" w:hanging="360"/>
      </w:pPr>
      <w:rPr>
        <w:rFonts w:ascii="OpenSymbol" w:hAnsi="OpenSymbol" w:cs="OpenSymbol" w:hint="default"/>
        <w:rFonts w:cs="OpenSymbol"/>
      </w:rPr>
    </w:lvl>
    <w:lvl w:ilvl="3">
      <w:start w:val="1"/>
      <w:numFmt w:val="bullet"/>
      <w:lvlText w:val=""/>
      <w:lvlJc w:val="left"/>
      <w:pPr>
        <w:ind w:left="1800" w:hanging="360"/>
      </w:pPr>
      <w:rPr>
        <w:rFonts w:ascii="Symbol" w:hAnsi="Symbol" w:cs="Symbol" w:hint="default"/>
        <w:rFonts w:cs="OpenSymbol"/>
      </w:rPr>
    </w:lvl>
    <w:lvl w:ilvl="4">
      <w:start w:val="1"/>
      <w:numFmt w:val="bullet"/>
      <w:lvlText w:val="◦"/>
      <w:lvlJc w:val="left"/>
      <w:pPr>
        <w:ind w:left="2160" w:hanging="360"/>
      </w:pPr>
      <w:rPr>
        <w:rFonts w:ascii="OpenSymbol" w:hAnsi="OpenSymbol" w:cs="OpenSymbol" w:hint="default"/>
        <w:rFonts w:cs="OpenSymbol"/>
      </w:rPr>
    </w:lvl>
    <w:lvl w:ilvl="5">
      <w:start w:val="1"/>
      <w:numFmt w:val="bullet"/>
      <w:lvlText w:val="▪"/>
      <w:lvlJc w:val="left"/>
      <w:pPr>
        <w:ind w:left="2520" w:hanging="360"/>
      </w:pPr>
      <w:rPr>
        <w:rFonts w:ascii="OpenSymbol" w:hAnsi="OpenSymbol" w:cs="OpenSymbol" w:hint="default"/>
        <w:rFonts w:cs="OpenSymbol"/>
      </w:rPr>
    </w:lvl>
    <w:lvl w:ilvl="6">
      <w:start w:val="1"/>
      <w:numFmt w:val="bullet"/>
      <w:lvlText w:val=""/>
      <w:lvlJc w:val="left"/>
      <w:pPr>
        <w:ind w:left="2880" w:hanging="360"/>
      </w:pPr>
      <w:rPr>
        <w:rFonts w:ascii="Symbol" w:hAnsi="Symbol" w:cs="Symbol" w:hint="default"/>
        <w:rFonts w:cs="OpenSymbol"/>
      </w:rPr>
    </w:lvl>
    <w:lvl w:ilvl="7">
      <w:start w:val="1"/>
      <w:numFmt w:val="bullet"/>
      <w:lvlText w:val="◦"/>
      <w:lvlJc w:val="left"/>
      <w:pPr>
        <w:ind w:left="3240" w:hanging="360"/>
      </w:pPr>
      <w:rPr>
        <w:rFonts w:ascii="OpenSymbol" w:hAnsi="OpenSymbol" w:cs="OpenSymbol" w:hint="default"/>
        <w:rFonts w:cs="OpenSymbol"/>
      </w:rPr>
    </w:lvl>
    <w:lvl w:ilvl="8">
      <w:start w:val="1"/>
      <w:numFmt w:val="bullet"/>
      <w:lvlText w:val="▪"/>
      <w:lvlJc w:val="left"/>
      <w:pPr>
        <w:ind w:left="3600" w:hanging="360"/>
      </w:pPr>
      <w:rPr>
        <w:rFonts w:ascii="OpenSymbol" w:hAnsi="OpenSymbol" w:cs="OpenSymbol" w:hint="default"/>
        <w:rFonts w:cs="OpenSymbol"/>
      </w:rPr>
    </w:lvl>
  </w:abstractNum>
  <w:abstractNum w:abstractNumId="2">
    <w:lvl w:ilvl="0">
      <w:start w:val="1"/>
      <w:numFmt w:val="bullet"/>
      <w:lvlText w:val=""/>
      <w:lvlJc w:val="left"/>
      <w:pPr>
        <w:ind w:left="720" w:hanging="360"/>
      </w:pPr>
      <w:rPr>
        <w:rFonts w:ascii="Wingdings" w:hAnsi="Wingdings" w:cs="Wingdings" w:hint="default"/>
        <w:rFonts w:cs="OpenSymbol"/>
      </w:rPr>
    </w:lvl>
    <w:lvl w:ilvl="1">
      <w:start w:val="1"/>
      <w:numFmt w:val="bullet"/>
      <w:lvlText w:val="◦"/>
      <w:lvlJc w:val="left"/>
      <w:pPr>
        <w:ind w:left="1080" w:hanging="360"/>
      </w:pPr>
      <w:rPr>
        <w:rFonts w:ascii="OpenSymbol" w:hAnsi="OpenSymbol" w:cs="OpenSymbol" w:hint="default"/>
        <w:rFonts w:cs="OpenSymbol"/>
      </w:rPr>
    </w:lvl>
    <w:lvl w:ilvl="2">
      <w:start w:val="1"/>
      <w:numFmt w:val="bullet"/>
      <w:lvlText w:val="▪"/>
      <w:lvlJc w:val="left"/>
      <w:pPr>
        <w:ind w:left="1440" w:hanging="360"/>
      </w:pPr>
      <w:rPr>
        <w:rFonts w:ascii="OpenSymbol" w:hAnsi="OpenSymbol" w:cs="OpenSymbol" w:hint="default"/>
        <w:rFonts w:cs="OpenSymbol"/>
      </w:rPr>
    </w:lvl>
    <w:lvl w:ilvl="3">
      <w:start w:val="1"/>
      <w:numFmt w:val="bullet"/>
      <w:lvlText w:val=""/>
      <w:lvlJc w:val="left"/>
      <w:pPr>
        <w:ind w:left="1800" w:hanging="360"/>
      </w:pPr>
      <w:rPr>
        <w:rFonts w:ascii="Symbol" w:hAnsi="Symbol" w:cs="Symbol" w:hint="default"/>
        <w:rFonts w:cs="OpenSymbol"/>
      </w:rPr>
    </w:lvl>
    <w:lvl w:ilvl="4">
      <w:start w:val="1"/>
      <w:numFmt w:val="bullet"/>
      <w:lvlText w:val="◦"/>
      <w:lvlJc w:val="left"/>
      <w:pPr>
        <w:ind w:left="2160" w:hanging="360"/>
      </w:pPr>
      <w:rPr>
        <w:rFonts w:ascii="OpenSymbol" w:hAnsi="OpenSymbol" w:cs="OpenSymbol" w:hint="default"/>
        <w:rFonts w:cs="OpenSymbol"/>
      </w:rPr>
    </w:lvl>
    <w:lvl w:ilvl="5">
      <w:start w:val="1"/>
      <w:numFmt w:val="bullet"/>
      <w:lvlText w:val="▪"/>
      <w:lvlJc w:val="left"/>
      <w:pPr>
        <w:ind w:left="2520" w:hanging="360"/>
      </w:pPr>
      <w:rPr>
        <w:rFonts w:ascii="OpenSymbol" w:hAnsi="OpenSymbol" w:cs="OpenSymbol" w:hint="default"/>
        <w:rFonts w:cs="OpenSymbol"/>
      </w:rPr>
    </w:lvl>
    <w:lvl w:ilvl="6">
      <w:start w:val="1"/>
      <w:numFmt w:val="bullet"/>
      <w:lvlText w:val=""/>
      <w:lvlJc w:val="left"/>
      <w:pPr>
        <w:ind w:left="2880" w:hanging="360"/>
      </w:pPr>
      <w:rPr>
        <w:rFonts w:ascii="Symbol" w:hAnsi="Symbol" w:cs="Symbol" w:hint="default"/>
        <w:rFonts w:cs="OpenSymbol"/>
      </w:rPr>
    </w:lvl>
    <w:lvl w:ilvl="7">
      <w:start w:val="1"/>
      <w:numFmt w:val="bullet"/>
      <w:lvlText w:val="◦"/>
      <w:lvlJc w:val="left"/>
      <w:pPr>
        <w:ind w:left="3240" w:hanging="360"/>
      </w:pPr>
      <w:rPr>
        <w:rFonts w:ascii="OpenSymbol" w:hAnsi="OpenSymbol" w:cs="OpenSymbol" w:hint="default"/>
        <w:rFonts w:cs="OpenSymbol"/>
      </w:rPr>
    </w:lvl>
    <w:lvl w:ilvl="8">
      <w:start w:val="1"/>
      <w:numFmt w:val="bullet"/>
      <w:lvlText w:val="▪"/>
      <w:lvlJc w:val="left"/>
      <w:pPr>
        <w:ind w:left="3600" w:hanging="360"/>
      </w:pPr>
      <w:rPr>
        <w:rFonts w:ascii="OpenSymbol" w:hAnsi="OpenSymbol" w:cs="OpenSymbol" w:hint="default"/>
        <w:rFonts w:cs="OpenSymbol"/>
      </w:rPr>
    </w:lvl>
  </w:abstractNum>
  <w:abstractNum w:abstractNumId="3">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20"/>
  <w:defaultTabStop w:val="709"/>
  <w:autoHyphenation w:val="false"/>
  <w:compat/>
  <w:themeFontLang w:val="es-ES_tradn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Arial Unicode MS" w:cs="Mangal"/>
        <w:kern w:val="2"/>
        <w:szCs w:val="24"/>
        <w:lang w:val="es-ES" w:eastAsia="zh-CN" w:bidi="hi-IN"/>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c46cf6"/>
    <w:pPr>
      <w:widowControl/>
      <w:suppressAutoHyphens w:val="true"/>
      <w:bidi w:val="0"/>
      <w:jc w:val="left"/>
      <w:textAlignment w:val="baseline"/>
    </w:pPr>
    <w:rPr>
      <w:rFonts w:ascii="Liberation Serif" w:hAnsi="Liberation Serif" w:eastAsia="Arial Unicode MS" w:cs="Mangal"/>
      <w:color w:val="00000A"/>
      <w:kern w:val="2"/>
      <w:sz w:val="24"/>
      <w:szCs w:val="24"/>
      <w:lang w:val="es-ES" w:eastAsia="zh-CN" w:bidi="hi-IN"/>
    </w:rPr>
  </w:style>
  <w:style w:type="character" w:styleId="DefaultParagraphFont" w:default="1">
    <w:name w:val="Default Paragraph Font"/>
    <w:uiPriority w:val="1"/>
    <w:semiHidden/>
    <w:unhideWhenUsed/>
    <w:qFormat/>
    <w:rPr/>
  </w:style>
  <w:style w:type="character" w:styleId="Internetlink" w:customStyle="1">
    <w:name w:val="Internet link"/>
    <w:qFormat/>
    <w:rsid w:val="003b413a"/>
    <w:rPr>
      <w:color w:val="000080"/>
      <w:u w:val="single"/>
    </w:rPr>
  </w:style>
  <w:style w:type="character" w:styleId="Vietas" w:customStyle="1">
    <w:name w:val="Viñetas"/>
    <w:qFormat/>
    <w:rsid w:val="003b413a"/>
    <w:rPr>
      <w:rFonts w:ascii="OpenSymbol" w:hAnsi="OpenSymbol" w:eastAsia="OpenSymbol" w:cs="OpenSymbol"/>
    </w:rPr>
  </w:style>
  <w:style w:type="character" w:styleId="Smbolosdenumeracin" w:customStyle="1">
    <w:name w:val="Símbolos de numeración"/>
    <w:qFormat/>
    <w:rsid w:val="003b413a"/>
    <w:rPr/>
  </w:style>
  <w:style w:type="character" w:styleId="ListLabel1">
    <w:name w:val="ListLabel 1"/>
    <w:qFormat/>
    <w:rPr>
      <w:rFonts w:eastAsia="OpenSymbol" w:cs="OpenSymbol"/>
    </w:rPr>
  </w:style>
  <w:style w:type="character" w:styleId="ListLabel2">
    <w:name w:val="ListLabel 2"/>
    <w:qFormat/>
    <w:rPr>
      <w:rFonts w:eastAsia="OpenSymbol" w:cs="OpenSymbol"/>
    </w:rPr>
  </w:style>
  <w:style w:type="character" w:styleId="ListLabel3">
    <w:name w:val="ListLabel 3"/>
    <w:qFormat/>
    <w:rPr>
      <w:rFonts w:eastAsia="OpenSymbol" w:cs="OpenSymbol"/>
    </w:rPr>
  </w:style>
  <w:style w:type="character" w:styleId="ListLabel4">
    <w:name w:val="ListLabel 4"/>
    <w:qFormat/>
    <w:rPr>
      <w:rFonts w:eastAsia="OpenSymbol" w:cs="OpenSymbol"/>
    </w:rPr>
  </w:style>
  <w:style w:type="character" w:styleId="ListLabel5">
    <w:name w:val="ListLabel 5"/>
    <w:qFormat/>
    <w:rPr>
      <w:rFonts w:eastAsia="OpenSymbol" w:cs="OpenSymbol"/>
    </w:rPr>
  </w:style>
  <w:style w:type="character" w:styleId="ListLabel6">
    <w:name w:val="ListLabel 6"/>
    <w:qFormat/>
    <w:rPr>
      <w:rFonts w:eastAsia="OpenSymbol" w:cs="OpenSymbol"/>
    </w:rPr>
  </w:style>
  <w:style w:type="character" w:styleId="ListLabel7">
    <w:name w:val="ListLabel 7"/>
    <w:qFormat/>
    <w:rPr>
      <w:rFonts w:eastAsia="OpenSymbol" w:cs="OpenSymbol"/>
    </w:rPr>
  </w:style>
  <w:style w:type="character" w:styleId="ListLabel8">
    <w:name w:val="ListLabel 8"/>
    <w:qFormat/>
    <w:rPr>
      <w:rFonts w:eastAsia="OpenSymbol" w:cs="OpenSymbol"/>
    </w:rPr>
  </w:style>
  <w:style w:type="character" w:styleId="ListLabel9">
    <w:name w:val="ListLabel 9"/>
    <w:qFormat/>
    <w:rPr>
      <w:rFonts w:eastAsia="OpenSymbol" w:cs="OpenSymbol"/>
    </w:rPr>
  </w:style>
  <w:style w:type="character" w:styleId="ListLabel10">
    <w:name w:val="ListLabel 10"/>
    <w:qFormat/>
    <w:rPr>
      <w:rFonts w:eastAsia="OpenSymbol" w:cs="OpenSymbol"/>
    </w:rPr>
  </w:style>
  <w:style w:type="character" w:styleId="ListLabel11">
    <w:name w:val="ListLabel 11"/>
    <w:qFormat/>
    <w:rPr>
      <w:rFonts w:eastAsia="OpenSymbol" w:cs="OpenSymbol"/>
    </w:rPr>
  </w:style>
  <w:style w:type="character" w:styleId="ListLabel12">
    <w:name w:val="ListLabel 12"/>
    <w:qFormat/>
    <w:rPr>
      <w:rFonts w:eastAsia="OpenSymbol" w:cs="OpenSymbol"/>
    </w:rPr>
  </w:style>
  <w:style w:type="character" w:styleId="ListLabel13">
    <w:name w:val="ListLabel 13"/>
    <w:qFormat/>
    <w:rPr>
      <w:rFonts w:eastAsia="OpenSymbol" w:cs="OpenSymbol"/>
    </w:rPr>
  </w:style>
  <w:style w:type="character" w:styleId="ListLabel14">
    <w:name w:val="ListLabel 14"/>
    <w:qFormat/>
    <w:rPr>
      <w:rFonts w:eastAsia="OpenSymbol" w:cs="OpenSymbol"/>
    </w:rPr>
  </w:style>
  <w:style w:type="character" w:styleId="ListLabel15">
    <w:name w:val="ListLabel 15"/>
    <w:qFormat/>
    <w:rPr>
      <w:rFonts w:eastAsia="OpenSymbol" w:cs="OpenSymbol"/>
    </w:rPr>
  </w:style>
  <w:style w:type="character" w:styleId="ListLabel16">
    <w:name w:val="ListLabel 16"/>
    <w:qFormat/>
    <w:rPr>
      <w:rFonts w:eastAsia="OpenSymbol" w:cs="OpenSymbol"/>
    </w:rPr>
  </w:style>
  <w:style w:type="character" w:styleId="ListLabel17">
    <w:name w:val="ListLabel 17"/>
    <w:qFormat/>
    <w:rPr>
      <w:rFonts w:eastAsia="OpenSymbol" w:cs="OpenSymbol"/>
    </w:rPr>
  </w:style>
  <w:style w:type="character" w:styleId="ListLabel18">
    <w:name w:val="ListLabel 18"/>
    <w:qFormat/>
    <w:rPr>
      <w:rFonts w:eastAsia="OpenSymbol" w:cs="OpenSymbol"/>
    </w:rPr>
  </w:style>
  <w:style w:type="character" w:styleId="EnlacedeInternet">
    <w:name w:val="Enlace de Internet"/>
    <w:rPr>
      <w:color w:val="000080"/>
      <w:u w:val="single"/>
      <w:lang w:val="zxx" w:eastAsia="zxx" w:bidi="zxx"/>
    </w:rPr>
  </w:style>
  <w:style w:type="character" w:styleId="ListLabel19">
    <w:name w:val="ListLabel 19"/>
    <w:qFormat/>
    <w:rPr>
      <w:rFonts w:cs="OpenSymbol"/>
    </w:rPr>
  </w:style>
  <w:style w:type="character" w:styleId="ListLabel20">
    <w:name w:val="ListLabel 20"/>
    <w:qFormat/>
    <w:rPr>
      <w:rFonts w:cs="OpenSymbol"/>
    </w:rPr>
  </w:style>
  <w:style w:type="character" w:styleId="ListLabel21">
    <w:name w:val="ListLabel 21"/>
    <w:qFormat/>
    <w:rPr>
      <w:rFonts w:cs="OpenSymbol"/>
    </w:rPr>
  </w:style>
  <w:style w:type="character" w:styleId="ListLabel22">
    <w:name w:val="ListLabel 22"/>
    <w:qFormat/>
    <w:rPr>
      <w:rFonts w:cs="OpenSymbol"/>
    </w:rPr>
  </w:style>
  <w:style w:type="character" w:styleId="ListLabel23">
    <w:name w:val="ListLabel 23"/>
    <w:qFormat/>
    <w:rPr>
      <w:rFonts w:cs="OpenSymbol"/>
    </w:rPr>
  </w:style>
  <w:style w:type="character" w:styleId="ListLabel24">
    <w:name w:val="ListLabel 24"/>
    <w:qFormat/>
    <w:rPr>
      <w:rFonts w:cs="OpenSymbol"/>
    </w:rPr>
  </w:style>
  <w:style w:type="character" w:styleId="ListLabel25">
    <w:name w:val="ListLabel 25"/>
    <w:qFormat/>
    <w:rPr>
      <w:rFonts w:cs="OpenSymbol"/>
    </w:rPr>
  </w:style>
  <w:style w:type="character" w:styleId="ListLabel26">
    <w:name w:val="ListLabel 26"/>
    <w:qFormat/>
    <w:rPr>
      <w:rFonts w:cs="OpenSymbol"/>
    </w:rPr>
  </w:style>
  <w:style w:type="character" w:styleId="ListLabel27">
    <w:name w:val="ListLabel 27"/>
    <w:qFormat/>
    <w:rPr>
      <w:rFonts w:cs="OpenSymbol"/>
    </w:rPr>
  </w:style>
  <w:style w:type="character" w:styleId="ListLabel28">
    <w:name w:val="ListLabel 28"/>
    <w:qFormat/>
    <w:rPr>
      <w:rFonts w:cs="OpenSymbol"/>
    </w:rPr>
  </w:style>
  <w:style w:type="character" w:styleId="ListLabel29">
    <w:name w:val="ListLabel 29"/>
    <w:qFormat/>
    <w:rPr>
      <w:rFonts w:cs="OpenSymbol"/>
    </w:rPr>
  </w:style>
  <w:style w:type="character" w:styleId="ListLabel30">
    <w:name w:val="ListLabel 30"/>
    <w:qFormat/>
    <w:rPr>
      <w:rFonts w:cs="OpenSymbol"/>
    </w:rPr>
  </w:style>
  <w:style w:type="character" w:styleId="ListLabel31">
    <w:name w:val="ListLabel 31"/>
    <w:qFormat/>
    <w:rPr>
      <w:rFonts w:cs="OpenSymbol"/>
    </w:rPr>
  </w:style>
  <w:style w:type="character" w:styleId="ListLabel32">
    <w:name w:val="ListLabel 32"/>
    <w:qFormat/>
    <w:rPr>
      <w:rFonts w:cs="OpenSymbol"/>
    </w:rPr>
  </w:style>
  <w:style w:type="character" w:styleId="ListLabel33">
    <w:name w:val="ListLabel 33"/>
    <w:qFormat/>
    <w:rPr>
      <w:rFonts w:cs="OpenSymbol"/>
    </w:rPr>
  </w:style>
  <w:style w:type="character" w:styleId="ListLabel34">
    <w:name w:val="ListLabel 34"/>
    <w:qFormat/>
    <w:rPr>
      <w:rFonts w:cs="OpenSymbol"/>
    </w:rPr>
  </w:style>
  <w:style w:type="character" w:styleId="ListLabel35">
    <w:name w:val="ListLabel 35"/>
    <w:qFormat/>
    <w:rPr>
      <w:rFonts w:cs="OpenSymbol"/>
    </w:rPr>
  </w:style>
  <w:style w:type="character" w:styleId="ListLabel36">
    <w:name w:val="ListLabel 36"/>
    <w:qFormat/>
    <w:rPr>
      <w:rFonts w:cs="OpenSymbol"/>
    </w:rPr>
  </w:style>
  <w:style w:type="character" w:styleId="ListLabel37">
    <w:name w:val="ListLabel 37"/>
    <w:qFormat/>
    <w:rPr>
      <w:rFonts w:cs="OpenSymbol"/>
    </w:rPr>
  </w:style>
  <w:style w:type="character" w:styleId="ListLabel38">
    <w:name w:val="ListLabel 38"/>
    <w:qFormat/>
    <w:rPr>
      <w:rFonts w:cs="OpenSymbol"/>
    </w:rPr>
  </w:style>
  <w:style w:type="character" w:styleId="ListLabel39">
    <w:name w:val="ListLabel 39"/>
    <w:qFormat/>
    <w:rPr>
      <w:rFonts w:cs="OpenSymbol"/>
    </w:rPr>
  </w:style>
  <w:style w:type="character" w:styleId="ListLabel40">
    <w:name w:val="ListLabel 40"/>
    <w:qFormat/>
    <w:rPr>
      <w:rFonts w:cs="OpenSymbol"/>
    </w:rPr>
  </w:style>
  <w:style w:type="character" w:styleId="ListLabel41">
    <w:name w:val="ListLabel 41"/>
    <w:qFormat/>
    <w:rPr>
      <w:rFonts w:cs="OpenSymbol"/>
    </w:rPr>
  </w:style>
  <w:style w:type="character" w:styleId="ListLabel42">
    <w:name w:val="ListLabel 42"/>
    <w:qFormat/>
    <w:rPr>
      <w:rFonts w:cs="OpenSymbol"/>
    </w:rPr>
  </w:style>
  <w:style w:type="character" w:styleId="ListLabel43">
    <w:name w:val="ListLabel 43"/>
    <w:qFormat/>
    <w:rPr>
      <w:rFonts w:cs="OpenSymbol"/>
    </w:rPr>
  </w:style>
  <w:style w:type="character" w:styleId="ListLabel44">
    <w:name w:val="ListLabel 44"/>
    <w:qFormat/>
    <w:rPr>
      <w:rFonts w:cs="OpenSymbol"/>
    </w:rPr>
  </w:style>
  <w:style w:type="character" w:styleId="ListLabel45">
    <w:name w:val="ListLabel 45"/>
    <w:qFormat/>
    <w:rPr>
      <w:rFonts w:cs="OpenSymbol"/>
    </w:rPr>
  </w:style>
  <w:style w:type="character" w:styleId="ListLabel46">
    <w:name w:val="ListLabel 46"/>
    <w:qFormat/>
    <w:rPr>
      <w:rFonts w:cs="OpenSymbol"/>
    </w:rPr>
  </w:style>
  <w:style w:type="character" w:styleId="ListLabel47">
    <w:name w:val="ListLabel 47"/>
    <w:qFormat/>
    <w:rPr>
      <w:rFonts w:cs="OpenSymbol"/>
    </w:rPr>
  </w:style>
  <w:style w:type="character" w:styleId="ListLabel48">
    <w:name w:val="ListLabel 48"/>
    <w:qFormat/>
    <w:rPr>
      <w:rFonts w:cs="OpenSymbol"/>
    </w:rPr>
  </w:style>
  <w:style w:type="character" w:styleId="ListLabel49">
    <w:name w:val="ListLabel 49"/>
    <w:qFormat/>
    <w:rPr>
      <w:rFonts w:cs="OpenSymbol"/>
    </w:rPr>
  </w:style>
  <w:style w:type="character" w:styleId="ListLabel50">
    <w:name w:val="ListLabel 50"/>
    <w:qFormat/>
    <w:rPr>
      <w:rFonts w:cs="OpenSymbol"/>
    </w:rPr>
  </w:style>
  <w:style w:type="character" w:styleId="ListLabel51">
    <w:name w:val="ListLabel 51"/>
    <w:qFormat/>
    <w:rPr>
      <w:rFonts w:cs="OpenSymbol"/>
    </w:rPr>
  </w:style>
  <w:style w:type="character" w:styleId="ListLabel52">
    <w:name w:val="ListLabel 52"/>
    <w:qFormat/>
    <w:rPr>
      <w:rFonts w:cs="OpenSymbol"/>
    </w:rPr>
  </w:style>
  <w:style w:type="character" w:styleId="ListLabel53">
    <w:name w:val="ListLabel 53"/>
    <w:qFormat/>
    <w:rPr>
      <w:rFonts w:cs="OpenSymbol"/>
    </w:rPr>
  </w:style>
  <w:style w:type="character" w:styleId="ListLabel54">
    <w:name w:val="ListLabel 54"/>
    <w:qFormat/>
    <w:rPr>
      <w:rFonts w:cs="OpenSymbol"/>
    </w:rPr>
  </w:style>
  <w:style w:type="character" w:styleId="ListLabel55">
    <w:name w:val="ListLabel 55"/>
    <w:qFormat/>
    <w:rPr>
      <w:rFonts w:cs="OpenSymbol"/>
    </w:rPr>
  </w:style>
  <w:style w:type="character" w:styleId="ListLabel56">
    <w:name w:val="ListLabel 56"/>
    <w:qFormat/>
    <w:rPr>
      <w:rFonts w:cs="OpenSymbol"/>
    </w:rPr>
  </w:style>
  <w:style w:type="character" w:styleId="ListLabel57">
    <w:name w:val="ListLabel 57"/>
    <w:qFormat/>
    <w:rPr>
      <w:rFonts w:cs="OpenSymbol"/>
    </w:rPr>
  </w:style>
  <w:style w:type="character" w:styleId="ListLabel58">
    <w:name w:val="ListLabel 58"/>
    <w:qFormat/>
    <w:rPr>
      <w:rFonts w:cs="OpenSymbol"/>
    </w:rPr>
  </w:style>
  <w:style w:type="character" w:styleId="ListLabel59">
    <w:name w:val="ListLabel 59"/>
    <w:qFormat/>
    <w:rPr>
      <w:rFonts w:cs="OpenSymbol"/>
    </w:rPr>
  </w:style>
  <w:style w:type="character" w:styleId="ListLabel60">
    <w:name w:val="ListLabel 60"/>
    <w:qFormat/>
    <w:rPr>
      <w:rFonts w:cs="OpenSymbol"/>
    </w:rPr>
  </w:style>
  <w:style w:type="character" w:styleId="ListLabel61">
    <w:name w:val="ListLabel 61"/>
    <w:qFormat/>
    <w:rPr>
      <w:rFonts w:cs="OpenSymbol"/>
    </w:rPr>
  </w:style>
  <w:style w:type="character" w:styleId="ListLabel62">
    <w:name w:val="ListLabel 62"/>
    <w:qFormat/>
    <w:rPr>
      <w:rFonts w:cs="OpenSymbol"/>
    </w:rPr>
  </w:style>
  <w:style w:type="character" w:styleId="ListLabel63">
    <w:name w:val="ListLabel 63"/>
    <w:qFormat/>
    <w:rPr>
      <w:rFonts w:cs="OpenSymbol"/>
    </w:rPr>
  </w:style>
  <w:style w:type="character" w:styleId="ListLabel64">
    <w:name w:val="ListLabel 64"/>
    <w:qFormat/>
    <w:rPr>
      <w:rFonts w:cs="OpenSymbol"/>
    </w:rPr>
  </w:style>
  <w:style w:type="character" w:styleId="ListLabel65">
    <w:name w:val="ListLabel 65"/>
    <w:qFormat/>
    <w:rPr>
      <w:rFonts w:cs="OpenSymbol"/>
    </w:rPr>
  </w:style>
  <w:style w:type="character" w:styleId="ListLabel66">
    <w:name w:val="ListLabel 66"/>
    <w:qFormat/>
    <w:rPr>
      <w:rFonts w:cs="OpenSymbol"/>
    </w:rPr>
  </w:style>
  <w:style w:type="character" w:styleId="ListLabel67">
    <w:name w:val="ListLabel 67"/>
    <w:qFormat/>
    <w:rPr>
      <w:rFonts w:cs="OpenSymbol"/>
    </w:rPr>
  </w:style>
  <w:style w:type="character" w:styleId="ListLabel68">
    <w:name w:val="ListLabel 68"/>
    <w:qFormat/>
    <w:rPr>
      <w:rFonts w:cs="OpenSymbol"/>
    </w:rPr>
  </w:style>
  <w:style w:type="character" w:styleId="ListLabel69">
    <w:name w:val="ListLabel 69"/>
    <w:qFormat/>
    <w:rPr>
      <w:rFonts w:cs="OpenSymbol"/>
    </w:rPr>
  </w:style>
  <w:style w:type="character" w:styleId="ListLabel70">
    <w:name w:val="ListLabel 70"/>
    <w:qFormat/>
    <w:rPr>
      <w:rFonts w:cs="OpenSymbol"/>
    </w:rPr>
  </w:style>
  <w:style w:type="character" w:styleId="ListLabel71">
    <w:name w:val="ListLabel 71"/>
    <w:qFormat/>
    <w:rPr>
      <w:rFonts w:cs="OpenSymbol"/>
    </w:rPr>
  </w:style>
  <w:style w:type="character" w:styleId="ListLabel72">
    <w:name w:val="ListLabel 72"/>
    <w:qFormat/>
    <w:rPr>
      <w:rFonts w:cs="OpenSymbol"/>
    </w:rPr>
  </w:style>
  <w:style w:type="paragraph" w:styleId="Ttulo" w:customStyle="1">
    <w:name w:val="Título"/>
    <w:basedOn w:val="Normal"/>
    <w:next w:val="Cuerpodetexto"/>
    <w:qFormat/>
    <w:rsid w:val="003b413a"/>
    <w:pPr>
      <w:keepNext/>
      <w:widowControl w:val="false"/>
      <w:bidi w:val="0"/>
      <w:spacing w:before="240" w:after="120"/>
      <w:jc w:val="left"/>
    </w:pPr>
    <w:rPr>
      <w:rFonts w:ascii="Liberation Sans" w:hAnsi="Liberation Sans" w:eastAsia="Arial Unicode MS" w:cs="Mangal"/>
      <w:color w:val="00000A"/>
      <w:kern w:val="2"/>
      <w:sz w:val="28"/>
      <w:szCs w:val="28"/>
      <w:lang w:val="es-ES" w:eastAsia="zh-CN" w:bidi="hi-IN"/>
    </w:rPr>
  </w:style>
  <w:style w:type="paragraph" w:styleId="Cuerpodetexto">
    <w:name w:val="Body Text"/>
    <w:basedOn w:val="Normal"/>
    <w:pPr>
      <w:spacing w:lineRule="auto" w:line="288" w:before="0" w:after="140"/>
    </w:pPr>
    <w:rPr/>
  </w:style>
  <w:style w:type="paragraph" w:styleId="Lista">
    <w:name w:val="List"/>
    <w:basedOn w:val="Normal"/>
    <w:rsid w:val="003b413a"/>
    <w:pPr>
      <w:widowControl w:val="false"/>
      <w:bidi w:val="0"/>
      <w:jc w:val="left"/>
    </w:pPr>
    <w:rPr>
      <w:rFonts w:ascii="Liberation Serif" w:hAnsi="Liberation Serif" w:eastAsia="Arial Unicode MS" w:cs="Mangal"/>
      <w:color w:val="00000A"/>
      <w:kern w:val="2"/>
      <w:sz w:val="24"/>
      <w:szCs w:val="24"/>
      <w:lang w:val="es-ES" w:eastAsia="zh-CN" w:bidi="hi-IN"/>
    </w:rPr>
  </w:style>
  <w:style w:type="paragraph" w:styleId="Leyenda" w:customStyle="1">
    <w:name w:val="Caption"/>
    <w:basedOn w:val="Normal"/>
    <w:qFormat/>
    <w:rsid w:val="003b413a"/>
    <w:pPr>
      <w:widowControl w:val="false"/>
      <w:suppressLineNumbers/>
      <w:bidi w:val="0"/>
      <w:spacing w:before="120" w:after="120"/>
      <w:jc w:val="left"/>
    </w:pPr>
    <w:rPr>
      <w:rFonts w:ascii="Liberation Serif" w:hAnsi="Liberation Serif" w:eastAsia="Arial Unicode MS" w:cs="Mangal"/>
      <w:i/>
      <w:iCs/>
      <w:color w:val="00000A"/>
      <w:kern w:val="2"/>
      <w:sz w:val="24"/>
      <w:szCs w:val="24"/>
      <w:lang w:val="es-ES" w:eastAsia="zh-CN" w:bidi="hi-IN"/>
    </w:rPr>
  </w:style>
  <w:style w:type="paragraph" w:styleId="Ndice" w:customStyle="1">
    <w:name w:val="Índice"/>
    <w:basedOn w:val="Normal"/>
    <w:qFormat/>
    <w:rsid w:val="003b413a"/>
    <w:pPr>
      <w:widowControl w:val="false"/>
      <w:suppressLineNumbers/>
      <w:bidi w:val="0"/>
      <w:jc w:val="left"/>
    </w:pPr>
    <w:rPr>
      <w:rFonts w:ascii="Liberation Serif" w:hAnsi="Liberation Serif" w:eastAsia="Arial Unicode MS" w:cs="Mangal"/>
      <w:color w:val="00000A"/>
      <w:kern w:val="2"/>
      <w:sz w:val="24"/>
      <w:szCs w:val="24"/>
      <w:lang w:val="es-ES" w:eastAsia="zh-CN" w:bidi="hi-IN"/>
    </w:rPr>
  </w:style>
  <w:style w:type="paragraph" w:styleId="Standard" w:customStyle="1">
    <w:name w:val="Standard"/>
    <w:qFormat/>
    <w:rsid w:val="003b413a"/>
    <w:pPr>
      <w:widowControl/>
      <w:bidi w:val="0"/>
      <w:jc w:val="left"/>
    </w:pPr>
    <w:rPr>
      <w:rFonts w:ascii="Liberation Serif" w:hAnsi="Liberation Serif" w:eastAsia="Arial Unicode MS" w:cs="Mangal"/>
      <w:color w:val="00000A"/>
      <w:kern w:val="2"/>
      <w:sz w:val="24"/>
      <w:szCs w:val="24"/>
      <w:lang w:val="es-ES" w:eastAsia="zh-CN" w:bidi="hi-IN"/>
    </w:rPr>
  </w:style>
  <w:style w:type="paragraph" w:styleId="Textbody" w:customStyle="1">
    <w:name w:val="Text body"/>
    <w:basedOn w:val="Standard"/>
    <w:qFormat/>
    <w:rsid w:val="003b413a"/>
    <w:pPr>
      <w:spacing w:lineRule="auto" w:line="288" w:before="0" w:after="140"/>
    </w:pPr>
    <w:rPr/>
  </w:style>
  <w:style w:type="paragraph" w:styleId="Contenidodelatabla" w:customStyle="1">
    <w:name w:val="Contenido de la tabla"/>
    <w:basedOn w:val="Standard"/>
    <w:qFormat/>
    <w:rsid w:val="003b413a"/>
    <w:pPr>
      <w:suppressLineNumbers/>
    </w:pPr>
    <w:rPr/>
  </w:style>
  <w:style w:type="paragraph" w:styleId="Ttulodelatabla" w:customStyle="1">
    <w:name w:val="Título de la tabla"/>
    <w:basedOn w:val="Contenidodelatabla"/>
    <w:qFormat/>
    <w:rsid w:val="003b413a"/>
    <w:pPr>
      <w:jc w:val="center"/>
    </w:pPr>
    <w:rPr>
      <w:b/>
      <w:bCs/>
    </w:rPr>
  </w:style>
  <w:style w:type="paragraph" w:styleId="Piedepgina">
    <w:name w:val="Footer"/>
    <w:basedOn w:val="Normal"/>
    <w:pPr/>
    <w:rPr/>
  </w:style>
  <w:style w:type="numbering" w:styleId="NoList" w:default="1">
    <w:name w:val="No List"/>
    <w:uiPriority w:val="99"/>
    <w:semiHidden/>
    <w:unhideWhenUsed/>
    <w:qFormat/>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www.rockthesport.com/" TargetMode="Externa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1867</TotalTime>
  <Application>LibreOffice/5.4.1.2$Linux_X86_64 LibreOffice_project/ea7cb86e6eeb2bf3a5af73a8f7777ac570321527</Application>
  <Pages>3</Pages>
  <Words>951</Words>
  <Characters>4942</Characters>
  <CharactersWithSpaces>5822</CharactersWithSpaces>
  <Paragraphs>84</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2018-07-13T09:52:00Z</dcterms:created>
  <dc:creator>BEEP</dc:creator>
  <dc:description/>
  <dc:language>es-ES</dc:language>
  <cp:lastModifiedBy/>
  <cp:lastPrinted>2018-08-01T12:09:48Z</cp:lastPrinted>
  <dcterms:modified xsi:type="dcterms:W3CDTF">2018-08-08T13:04:10Z</dcterms:modified>
  <cp:revision>16</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